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365A" w14:textId="77777777" w:rsidR="00A637AE" w:rsidRDefault="00A637AE" w:rsidP="00A637AE">
      <w:pPr>
        <w:jc w:val="center"/>
        <w:rPr>
          <w:b/>
          <w:bCs/>
          <w:u w:val="single"/>
        </w:rPr>
      </w:pPr>
      <w:r w:rsidRPr="00CD2278">
        <w:rPr>
          <w:b/>
          <w:bCs/>
          <w:u w:val="single"/>
        </w:rPr>
        <w:t xml:space="preserve">Informace o způsobu a </w:t>
      </w:r>
      <w:proofErr w:type="gramStart"/>
      <w:r w:rsidRPr="00CD2278">
        <w:rPr>
          <w:b/>
          <w:bCs/>
          <w:u w:val="single"/>
        </w:rPr>
        <w:t>rozsahu  odděleného</w:t>
      </w:r>
      <w:proofErr w:type="gramEnd"/>
      <w:r w:rsidRPr="00CD2278">
        <w:rPr>
          <w:b/>
          <w:bCs/>
          <w:u w:val="single"/>
        </w:rPr>
        <w:t xml:space="preserve"> </w:t>
      </w:r>
      <w:proofErr w:type="gramStart"/>
      <w:r w:rsidRPr="00CD2278">
        <w:rPr>
          <w:b/>
          <w:bCs/>
          <w:u w:val="single"/>
        </w:rPr>
        <w:t>soustřeďování  komunálního</w:t>
      </w:r>
      <w:proofErr w:type="gramEnd"/>
      <w:r w:rsidRPr="00CD2278">
        <w:rPr>
          <w:b/>
          <w:bCs/>
          <w:u w:val="single"/>
        </w:rPr>
        <w:t xml:space="preserve"> odpadu a o možnostech prevence a </w:t>
      </w:r>
      <w:proofErr w:type="gramStart"/>
      <w:r w:rsidRPr="00CD2278">
        <w:rPr>
          <w:b/>
          <w:bCs/>
          <w:u w:val="single"/>
        </w:rPr>
        <w:t>minimalizace  vzniku</w:t>
      </w:r>
      <w:proofErr w:type="gramEnd"/>
      <w:r w:rsidRPr="00CD2278">
        <w:rPr>
          <w:b/>
          <w:bCs/>
          <w:u w:val="single"/>
        </w:rPr>
        <w:t xml:space="preserve"> komunálního odpadu</w:t>
      </w:r>
      <w:r>
        <w:rPr>
          <w:b/>
          <w:bCs/>
          <w:u w:val="single"/>
        </w:rPr>
        <w:t xml:space="preserve"> – v souladu s § 60 odst. 4) zákona č. 541/2020 Sb. v platném znění – Zpráva za rok 2022.</w:t>
      </w:r>
    </w:p>
    <w:p w14:paraId="3565017F"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u w:val="single"/>
        </w:rPr>
        <w:t>1) Oddělené soustřeďování komunálního odpadu</w:t>
      </w:r>
      <w:r w:rsidRPr="00F2155D">
        <w:rPr>
          <w:rFonts w:ascii="Times New Roman" w:hAnsi="Times New Roman" w:cs="Times New Roman"/>
          <w:color w:val="000000"/>
        </w:rPr>
        <w:t xml:space="preserve"> je podrobně stanoveno Obecně závaznou vyhláškou č. 2/2021, o stanovení obecního systému odpadového hospodářství na území obce Mikulovice, která nabyla účinnosti dne 1.1.2022.</w:t>
      </w:r>
    </w:p>
    <w:p w14:paraId="7EF74711"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Občané obce Mikulovice mohou vytřídit tyto odpady:</w:t>
      </w:r>
    </w:p>
    <w:p w14:paraId="6F6E4086"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 xml:space="preserve">Do separačních </w:t>
      </w:r>
      <w:proofErr w:type="gramStart"/>
      <w:r w:rsidRPr="00F2155D">
        <w:rPr>
          <w:rFonts w:ascii="Times New Roman" w:hAnsi="Times New Roman" w:cs="Times New Roman"/>
          <w:color w:val="000000"/>
        </w:rPr>
        <w:t>kontejnerů,  sběrného</w:t>
      </w:r>
      <w:proofErr w:type="gramEnd"/>
      <w:r w:rsidRPr="00F2155D">
        <w:rPr>
          <w:rFonts w:ascii="Times New Roman" w:hAnsi="Times New Roman" w:cs="Times New Roman"/>
          <w:color w:val="000000"/>
        </w:rPr>
        <w:t xml:space="preserve"> dvora a </w:t>
      </w:r>
      <w:proofErr w:type="gramStart"/>
      <w:r w:rsidRPr="00F2155D">
        <w:rPr>
          <w:rFonts w:ascii="Times New Roman" w:hAnsi="Times New Roman" w:cs="Times New Roman"/>
          <w:color w:val="000000"/>
        </w:rPr>
        <w:t>sběrny  -</w:t>
      </w:r>
      <w:proofErr w:type="gramEnd"/>
      <w:r w:rsidRPr="00F2155D">
        <w:rPr>
          <w:rFonts w:ascii="Times New Roman" w:hAnsi="Times New Roman" w:cs="Times New Roman"/>
          <w:color w:val="000000"/>
        </w:rPr>
        <w:t xml:space="preserve">  plast, papír, sklo, kompozitní obaly (</w:t>
      </w:r>
      <w:proofErr w:type="spellStart"/>
      <w:r w:rsidRPr="00F2155D">
        <w:rPr>
          <w:rFonts w:ascii="Times New Roman" w:hAnsi="Times New Roman" w:cs="Times New Roman"/>
          <w:color w:val="000000"/>
        </w:rPr>
        <w:t>tetrapac</w:t>
      </w:r>
      <w:proofErr w:type="spellEnd"/>
      <w:r w:rsidRPr="00F2155D">
        <w:rPr>
          <w:rFonts w:ascii="Times New Roman" w:hAnsi="Times New Roman" w:cs="Times New Roman"/>
          <w:color w:val="000000"/>
        </w:rPr>
        <w:t>), kovy, textil.</w:t>
      </w:r>
    </w:p>
    <w:p w14:paraId="73AE3D80"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 xml:space="preserve">Do sběrného </w:t>
      </w:r>
      <w:proofErr w:type="gramStart"/>
      <w:r w:rsidRPr="00F2155D">
        <w:rPr>
          <w:rFonts w:ascii="Times New Roman" w:hAnsi="Times New Roman" w:cs="Times New Roman"/>
          <w:color w:val="000000"/>
        </w:rPr>
        <w:t>dvora - velkoobjemový</w:t>
      </w:r>
      <w:proofErr w:type="gramEnd"/>
      <w:r w:rsidRPr="00F2155D">
        <w:rPr>
          <w:rFonts w:ascii="Times New Roman" w:hAnsi="Times New Roman" w:cs="Times New Roman"/>
          <w:color w:val="000000"/>
        </w:rPr>
        <w:t xml:space="preserve"> odpad – pouze jednotlivé kusy </w:t>
      </w:r>
      <w:proofErr w:type="gramStart"/>
      <w:r w:rsidRPr="00F2155D">
        <w:rPr>
          <w:rFonts w:ascii="Times New Roman" w:hAnsi="Times New Roman" w:cs="Times New Roman"/>
          <w:color w:val="000000"/>
        </w:rPr>
        <w:t>( vlečky</w:t>
      </w:r>
      <w:proofErr w:type="gramEnd"/>
      <w:r w:rsidRPr="00F2155D">
        <w:rPr>
          <w:rFonts w:ascii="Times New Roman" w:hAnsi="Times New Roman" w:cs="Times New Roman"/>
          <w:color w:val="000000"/>
        </w:rPr>
        <w:t xml:space="preserve"> plné starého nábytku z vyklízených nemovitostí je nutno odvézt na skládku odpadů), pneumatiky, stavební suť – 200 kg/osoba/rok, tuky a oleje, nebezpečný odpad </w:t>
      </w:r>
      <w:proofErr w:type="gramStart"/>
      <w:r w:rsidRPr="00F2155D">
        <w:rPr>
          <w:rFonts w:ascii="Times New Roman" w:hAnsi="Times New Roman" w:cs="Times New Roman"/>
          <w:color w:val="000000"/>
        </w:rPr>
        <w:t>( mimo</w:t>
      </w:r>
      <w:proofErr w:type="gramEnd"/>
      <w:r w:rsidRPr="00F2155D">
        <w:rPr>
          <w:rFonts w:ascii="Times New Roman" w:hAnsi="Times New Roman" w:cs="Times New Roman"/>
          <w:color w:val="000000"/>
        </w:rPr>
        <w:t xml:space="preserve"> eternit, azbest a asfaltové lepenky), elektroodpad, světelné zdroje, baterie.</w:t>
      </w:r>
    </w:p>
    <w:p w14:paraId="7E7A5C32" w14:textId="77777777" w:rsidR="00A637AE" w:rsidRPr="00F2155D" w:rsidRDefault="00A637AE" w:rsidP="00A637AE">
      <w:pPr>
        <w:rPr>
          <w:rFonts w:ascii="Times New Roman" w:hAnsi="Times New Roman" w:cs="Times New Roman"/>
        </w:rPr>
      </w:pPr>
      <w:r w:rsidRPr="00F2155D">
        <w:rPr>
          <w:rFonts w:ascii="Times New Roman" w:hAnsi="Times New Roman" w:cs="Times New Roman"/>
          <w:color w:val="000000"/>
          <w:u w:val="single"/>
        </w:rPr>
        <w:t>2) Možnost prevence a minimalizace vzniku komunálního odpadu</w:t>
      </w:r>
      <w:r w:rsidRPr="00F2155D">
        <w:rPr>
          <w:rFonts w:ascii="Times New Roman" w:hAnsi="Times New Roman" w:cs="Times New Roman"/>
          <w:color w:val="000000"/>
        </w:rPr>
        <w:t xml:space="preserve"> </w:t>
      </w:r>
      <w:r w:rsidRPr="00F2155D">
        <w:rPr>
          <w:rFonts w:ascii="Times New Roman" w:hAnsi="Times New Roman" w:cs="Times New Roman"/>
        </w:rPr>
        <w:t xml:space="preserve">je především úlohou ekologické a společenské výchovy a osvěty. Ta by měla začínat v rodinách. Snaha obce působit na občany tak, aby docházelo k minimalizaci množství odpadu nebo dokonce k prevenci jeho vzniku zatím nepadá příliš </w:t>
      </w:r>
      <w:proofErr w:type="gramStart"/>
      <w:r w:rsidRPr="00F2155D">
        <w:rPr>
          <w:rFonts w:ascii="Times New Roman" w:hAnsi="Times New Roman" w:cs="Times New Roman"/>
        </w:rPr>
        <w:t>na  úrodnou</w:t>
      </w:r>
      <w:proofErr w:type="gramEnd"/>
      <w:r w:rsidRPr="00F2155D">
        <w:rPr>
          <w:rFonts w:ascii="Times New Roman" w:hAnsi="Times New Roman" w:cs="Times New Roman"/>
        </w:rPr>
        <w:t xml:space="preserve"> půdu. </w:t>
      </w:r>
    </w:p>
    <w:p w14:paraId="372FDE61" w14:textId="77777777" w:rsidR="00A637AE" w:rsidRPr="00F2155D" w:rsidRDefault="00A637AE" w:rsidP="00A637AE">
      <w:pPr>
        <w:rPr>
          <w:rFonts w:ascii="Times New Roman" w:hAnsi="Times New Roman" w:cs="Times New Roman"/>
        </w:rPr>
      </w:pPr>
      <w:r w:rsidRPr="00F2155D">
        <w:rPr>
          <w:rFonts w:ascii="Times New Roman" w:hAnsi="Times New Roman" w:cs="Times New Roman"/>
        </w:rPr>
        <w:t xml:space="preserve">V roce 2022 jsme ale přeci jen zabrali a </w:t>
      </w:r>
      <w:r>
        <w:rPr>
          <w:rFonts w:ascii="Times New Roman" w:hAnsi="Times New Roman" w:cs="Times New Roman"/>
        </w:rPr>
        <w:t xml:space="preserve">mírně jsme se </w:t>
      </w:r>
      <w:r w:rsidRPr="00F2155D">
        <w:rPr>
          <w:rFonts w:ascii="Times New Roman" w:hAnsi="Times New Roman" w:cs="Times New Roman"/>
        </w:rPr>
        <w:t>zlepšili</w:t>
      </w:r>
      <w:r>
        <w:rPr>
          <w:rFonts w:ascii="Times New Roman" w:hAnsi="Times New Roman" w:cs="Times New Roman"/>
        </w:rP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1327"/>
        <w:gridCol w:w="1643"/>
        <w:gridCol w:w="1545"/>
        <w:gridCol w:w="1470"/>
      </w:tblGrid>
      <w:tr w:rsidR="00A637AE" w:rsidRPr="00F2155D" w14:paraId="0431759F" w14:textId="77777777" w:rsidTr="00502F90">
        <w:trPr>
          <w:trHeight w:val="450"/>
        </w:trPr>
        <w:tc>
          <w:tcPr>
            <w:tcW w:w="3000" w:type="dxa"/>
          </w:tcPr>
          <w:p w14:paraId="4272FE96" w14:textId="77777777" w:rsidR="00A637AE" w:rsidRPr="00F2155D" w:rsidRDefault="00A637AE" w:rsidP="00502F90">
            <w:pPr>
              <w:rPr>
                <w:rFonts w:ascii="Times New Roman" w:hAnsi="Times New Roman" w:cs="Times New Roman"/>
                <w:color w:val="000000"/>
              </w:rPr>
            </w:pPr>
          </w:p>
        </w:tc>
        <w:tc>
          <w:tcPr>
            <w:tcW w:w="1327" w:type="dxa"/>
            <w:shd w:val="clear" w:color="auto" w:fill="92D050"/>
          </w:tcPr>
          <w:p w14:paraId="509DA80B"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2019</w:t>
            </w:r>
          </w:p>
        </w:tc>
        <w:tc>
          <w:tcPr>
            <w:tcW w:w="1643" w:type="dxa"/>
            <w:shd w:val="clear" w:color="auto" w:fill="92D050"/>
          </w:tcPr>
          <w:p w14:paraId="4B4488E2"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2020</w:t>
            </w:r>
          </w:p>
        </w:tc>
        <w:tc>
          <w:tcPr>
            <w:tcW w:w="1545" w:type="dxa"/>
            <w:shd w:val="clear" w:color="auto" w:fill="92D050"/>
          </w:tcPr>
          <w:p w14:paraId="1F442C9B"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2021</w:t>
            </w:r>
          </w:p>
        </w:tc>
        <w:tc>
          <w:tcPr>
            <w:tcW w:w="1470" w:type="dxa"/>
            <w:shd w:val="clear" w:color="auto" w:fill="92D050"/>
          </w:tcPr>
          <w:p w14:paraId="156FFC5F"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2022</w:t>
            </w:r>
          </w:p>
        </w:tc>
      </w:tr>
      <w:tr w:rsidR="00A637AE" w:rsidRPr="00F2155D" w14:paraId="603950DD" w14:textId="77777777" w:rsidTr="00502F90">
        <w:trPr>
          <w:trHeight w:val="555"/>
        </w:trPr>
        <w:tc>
          <w:tcPr>
            <w:tcW w:w="3000" w:type="dxa"/>
          </w:tcPr>
          <w:p w14:paraId="787A1592"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Počet obyvatel</w:t>
            </w:r>
          </w:p>
        </w:tc>
        <w:tc>
          <w:tcPr>
            <w:tcW w:w="1327" w:type="dxa"/>
          </w:tcPr>
          <w:p w14:paraId="7E9A86CF"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2525</w:t>
            </w:r>
          </w:p>
        </w:tc>
        <w:tc>
          <w:tcPr>
            <w:tcW w:w="1643" w:type="dxa"/>
          </w:tcPr>
          <w:p w14:paraId="0932AE4F"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2501</w:t>
            </w:r>
          </w:p>
        </w:tc>
        <w:tc>
          <w:tcPr>
            <w:tcW w:w="1545" w:type="dxa"/>
          </w:tcPr>
          <w:p w14:paraId="7855D0F5"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2508</w:t>
            </w:r>
          </w:p>
        </w:tc>
        <w:tc>
          <w:tcPr>
            <w:tcW w:w="1470" w:type="dxa"/>
          </w:tcPr>
          <w:p w14:paraId="0F3E330E"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2483</w:t>
            </w:r>
          </w:p>
        </w:tc>
      </w:tr>
      <w:tr w:rsidR="00A637AE" w:rsidRPr="00F2155D" w14:paraId="393926FD" w14:textId="77777777" w:rsidTr="00502F90">
        <w:trPr>
          <w:trHeight w:val="540"/>
        </w:trPr>
        <w:tc>
          <w:tcPr>
            <w:tcW w:w="3000" w:type="dxa"/>
          </w:tcPr>
          <w:p w14:paraId="11E011A5"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Celkové množství tříděného odpadu v tunách</w:t>
            </w:r>
          </w:p>
        </w:tc>
        <w:tc>
          <w:tcPr>
            <w:tcW w:w="1327" w:type="dxa"/>
          </w:tcPr>
          <w:p w14:paraId="5C1194DF"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201,62</w:t>
            </w:r>
          </w:p>
        </w:tc>
        <w:tc>
          <w:tcPr>
            <w:tcW w:w="1643" w:type="dxa"/>
          </w:tcPr>
          <w:p w14:paraId="2989161D"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234,88</w:t>
            </w:r>
          </w:p>
        </w:tc>
        <w:tc>
          <w:tcPr>
            <w:tcW w:w="1545" w:type="dxa"/>
          </w:tcPr>
          <w:p w14:paraId="0B222DFB"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233,07</w:t>
            </w:r>
          </w:p>
          <w:p w14:paraId="394AA8B0" w14:textId="77777777" w:rsidR="00A637AE" w:rsidRPr="00F2155D" w:rsidRDefault="00A637AE" w:rsidP="00502F90">
            <w:pPr>
              <w:jc w:val="center"/>
              <w:rPr>
                <w:rFonts w:ascii="Times New Roman" w:hAnsi="Times New Roman" w:cs="Times New Roman"/>
                <w:color w:val="000000"/>
              </w:rPr>
            </w:pPr>
          </w:p>
        </w:tc>
        <w:tc>
          <w:tcPr>
            <w:tcW w:w="1470" w:type="dxa"/>
          </w:tcPr>
          <w:p w14:paraId="00362BC0"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362,617</w:t>
            </w:r>
          </w:p>
        </w:tc>
      </w:tr>
      <w:tr w:rsidR="00A637AE" w:rsidRPr="00F2155D" w14:paraId="12175514" w14:textId="77777777" w:rsidTr="00502F90">
        <w:trPr>
          <w:trHeight w:val="600"/>
        </w:trPr>
        <w:tc>
          <w:tcPr>
            <w:tcW w:w="3000" w:type="dxa"/>
          </w:tcPr>
          <w:p w14:paraId="60998144"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Množství vytříděného odpadu/obyvatel v kilogramech</w:t>
            </w:r>
          </w:p>
        </w:tc>
        <w:tc>
          <w:tcPr>
            <w:tcW w:w="1327" w:type="dxa"/>
          </w:tcPr>
          <w:p w14:paraId="7C00EF42"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79,85</w:t>
            </w:r>
          </w:p>
        </w:tc>
        <w:tc>
          <w:tcPr>
            <w:tcW w:w="1643" w:type="dxa"/>
          </w:tcPr>
          <w:p w14:paraId="4AE7A3D9"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93,91</w:t>
            </w:r>
          </w:p>
        </w:tc>
        <w:tc>
          <w:tcPr>
            <w:tcW w:w="1545" w:type="dxa"/>
          </w:tcPr>
          <w:p w14:paraId="338592D3"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92,93</w:t>
            </w:r>
          </w:p>
        </w:tc>
        <w:tc>
          <w:tcPr>
            <w:tcW w:w="1470" w:type="dxa"/>
          </w:tcPr>
          <w:p w14:paraId="265E7E13"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146,04</w:t>
            </w:r>
          </w:p>
        </w:tc>
      </w:tr>
      <w:tr w:rsidR="00A637AE" w:rsidRPr="00F2155D" w14:paraId="4A58E947" w14:textId="77777777" w:rsidTr="00502F90">
        <w:trPr>
          <w:trHeight w:val="525"/>
        </w:trPr>
        <w:tc>
          <w:tcPr>
            <w:tcW w:w="3000" w:type="dxa"/>
          </w:tcPr>
          <w:p w14:paraId="2427A042"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Celkové množství směsného odpadu v tunách</w:t>
            </w:r>
          </w:p>
        </w:tc>
        <w:tc>
          <w:tcPr>
            <w:tcW w:w="1327" w:type="dxa"/>
          </w:tcPr>
          <w:p w14:paraId="1F3BBC1A"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522,08</w:t>
            </w:r>
          </w:p>
        </w:tc>
        <w:tc>
          <w:tcPr>
            <w:tcW w:w="1643" w:type="dxa"/>
          </w:tcPr>
          <w:p w14:paraId="51ABE6CB"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569,36</w:t>
            </w:r>
          </w:p>
        </w:tc>
        <w:tc>
          <w:tcPr>
            <w:tcW w:w="1545" w:type="dxa"/>
          </w:tcPr>
          <w:p w14:paraId="4AC1E02C"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615,46</w:t>
            </w:r>
          </w:p>
        </w:tc>
        <w:tc>
          <w:tcPr>
            <w:tcW w:w="1470" w:type="dxa"/>
          </w:tcPr>
          <w:p w14:paraId="0AC1DD71"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488,42</w:t>
            </w:r>
          </w:p>
        </w:tc>
      </w:tr>
      <w:tr w:rsidR="00A637AE" w:rsidRPr="00F2155D" w14:paraId="7A93E4C9" w14:textId="77777777" w:rsidTr="00502F90">
        <w:trPr>
          <w:trHeight w:val="525"/>
        </w:trPr>
        <w:tc>
          <w:tcPr>
            <w:tcW w:w="3000" w:type="dxa"/>
          </w:tcPr>
          <w:p w14:paraId="4FFA2F98"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 xml:space="preserve">Množství </w:t>
            </w:r>
            <w:proofErr w:type="gramStart"/>
            <w:r w:rsidRPr="00F2155D">
              <w:rPr>
                <w:rFonts w:ascii="Times New Roman" w:hAnsi="Times New Roman" w:cs="Times New Roman"/>
                <w:color w:val="000000"/>
              </w:rPr>
              <w:t>směsného  odpadu</w:t>
            </w:r>
            <w:proofErr w:type="gramEnd"/>
            <w:r w:rsidRPr="00F2155D">
              <w:rPr>
                <w:rFonts w:ascii="Times New Roman" w:hAnsi="Times New Roman" w:cs="Times New Roman"/>
                <w:color w:val="000000"/>
              </w:rPr>
              <w:t>/obyvatel v kilogramech</w:t>
            </w:r>
          </w:p>
        </w:tc>
        <w:tc>
          <w:tcPr>
            <w:tcW w:w="1327" w:type="dxa"/>
          </w:tcPr>
          <w:p w14:paraId="4C00BC26"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206,76</w:t>
            </w:r>
          </w:p>
        </w:tc>
        <w:tc>
          <w:tcPr>
            <w:tcW w:w="1643" w:type="dxa"/>
          </w:tcPr>
          <w:p w14:paraId="533EE727"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227,65</w:t>
            </w:r>
          </w:p>
        </w:tc>
        <w:tc>
          <w:tcPr>
            <w:tcW w:w="1545" w:type="dxa"/>
          </w:tcPr>
          <w:p w14:paraId="2F36ABD8"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245,40</w:t>
            </w:r>
          </w:p>
          <w:p w14:paraId="5F6B4DCA" w14:textId="77777777" w:rsidR="00A637AE" w:rsidRPr="00F2155D" w:rsidRDefault="00A637AE" w:rsidP="00502F90">
            <w:pPr>
              <w:jc w:val="center"/>
              <w:rPr>
                <w:rFonts w:ascii="Times New Roman" w:hAnsi="Times New Roman" w:cs="Times New Roman"/>
                <w:color w:val="000000"/>
              </w:rPr>
            </w:pPr>
          </w:p>
        </w:tc>
        <w:tc>
          <w:tcPr>
            <w:tcW w:w="1470" w:type="dxa"/>
          </w:tcPr>
          <w:p w14:paraId="329433CC"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196,71</w:t>
            </w:r>
          </w:p>
        </w:tc>
      </w:tr>
      <w:tr w:rsidR="00A637AE" w:rsidRPr="00F2155D" w14:paraId="5E392C27" w14:textId="77777777" w:rsidTr="00502F90">
        <w:trPr>
          <w:trHeight w:val="510"/>
        </w:trPr>
        <w:tc>
          <w:tcPr>
            <w:tcW w:w="3000" w:type="dxa"/>
          </w:tcPr>
          <w:p w14:paraId="16BCDE65" w14:textId="77777777" w:rsidR="00A637AE" w:rsidRPr="00F2155D" w:rsidRDefault="00A637AE" w:rsidP="00502F90">
            <w:pPr>
              <w:rPr>
                <w:rFonts w:ascii="Times New Roman" w:hAnsi="Times New Roman" w:cs="Times New Roman"/>
                <w:color w:val="000000"/>
              </w:rPr>
            </w:pPr>
            <w:r w:rsidRPr="00F2155D">
              <w:rPr>
                <w:rFonts w:ascii="Times New Roman" w:hAnsi="Times New Roman" w:cs="Times New Roman"/>
                <w:color w:val="000000"/>
              </w:rPr>
              <w:t>Procento vytříděnosti</w:t>
            </w:r>
          </w:p>
        </w:tc>
        <w:tc>
          <w:tcPr>
            <w:tcW w:w="1327" w:type="dxa"/>
          </w:tcPr>
          <w:p w14:paraId="66AC8768"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27,86</w:t>
            </w:r>
          </w:p>
        </w:tc>
        <w:tc>
          <w:tcPr>
            <w:tcW w:w="1643" w:type="dxa"/>
          </w:tcPr>
          <w:p w14:paraId="03D37BE6"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29,20</w:t>
            </w:r>
          </w:p>
        </w:tc>
        <w:tc>
          <w:tcPr>
            <w:tcW w:w="1545" w:type="dxa"/>
          </w:tcPr>
          <w:p w14:paraId="6344D53C"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27,47</w:t>
            </w:r>
          </w:p>
        </w:tc>
        <w:tc>
          <w:tcPr>
            <w:tcW w:w="1470" w:type="dxa"/>
          </w:tcPr>
          <w:p w14:paraId="62B53EDA" w14:textId="77777777" w:rsidR="00A637AE" w:rsidRPr="00F2155D" w:rsidRDefault="00A637AE" w:rsidP="00502F90">
            <w:pPr>
              <w:jc w:val="center"/>
              <w:rPr>
                <w:rFonts w:ascii="Times New Roman" w:hAnsi="Times New Roman" w:cs="Times New Roman"/>
                <w:color w:val="000000"/>
              </w:rPr>
            </w:pPr>
            <w:r w:rsidRPr="00F2155D">
              <w:rPr>
                <w:rFonts w:ascii="Times New Roman" w:hAnsi="Times New Roman" w:cs="Times New Roman"/>
                <w:color w:val="000000"/>
              </w:rPr>
              <w:t>42.61</w:t>
            </w:r>
          </w:p>
        </w:tc>
      </w:tr>
    </w:tbl>
    <w:p w14:paraId="525FB0C7" w14:textId="77777777" w:rsidR="00A637AE" w:rsidRPr="00F2155D" w:rsidRDefault="00A637AE" w:rsidP="00A637AE">
      <w:pPr>
        <w:rPr>
          <w:rFonts w:ascii="Times New Roman" w:hAnsi="Times New Roman" w:cs="Times New Roman"/>
          <w:color w:val="000000"/>
        </w:rPr>
      </w:pPr>
    </w:p>
    <w:p w14:paraId="3C0DAF9D" w14:textId="77777777" w:rsidR="00A637AE" w:rsidRPr="00F2155D" w:rsidRDefault="00A637AE" w:rsidP="00A637AE">
      <w:pPr>
        <w:rPr>
          <w:rFonts w:ascii="Times New Roman" w:hAnsi="Times New Roman" w:cs="Times New Roman"/>
          <w:color w:val="000000"/>
        </w:rPr>
      </w:pPr>
      <w:r w:rsidRPr="00F2155D">
        <w:rPr>
          <w:rFonts w:ascii="Times New Roman" w:hAnsi="Times New Roman" w:cs="Times New Roman"/>
          <w:color w:val="000000"/>
        </w:rPr>
        <w:t xml:space="preserve">Celkové množství směsného odpadu za rok 2022 kleslo, za což </w:t>
      </w:r>
      <w:proofErr w:type="gramStart"/>
      <w:r w:rsidRPr="00F2155D">
        <w:rPr>
          <w:rFonts w:ascii="Times New Roman" w:hAnsi="Times New Roman" w:cs="Times New Roman"/>
          <w:color w:val="000000"/>
        </w:rPr>
        <w:t>jsme  rádi</w:t>
      </w:r>
      <w:proofErr w:type="gramEnd"/>
      <w:r w:rsidRPr="00F2155D">
        <w:rPr>
          <w:rFonts w:ascii="Times New Roman" w:hAnsi="Times New Roman" w:cs="Times New Roman"/>
          <w:color w:val="000000"/>
        </w:rPr>
        <w:t xml:space="preserve"> a občanům děkujeme. Maximální množství 200 kg tohoto odpadu na obyvatele pro sníženou sazbu za ukládání na skládce jsme sice těsně, ale dodrželi. Pro rok 2023 však musíme ještě více třídit, abychom se do sníženého limitu 180 kg/obyvatel vešli.</w:t>
      </w:r>
    </w:p>
    <w:p w14:paraId="7416F465" w14:textId="77777777" w:rsidR="00A637AE" w:rsidRPr="00F2155D" w:rsidRDefault="00A637AE" w:rsidP="00A637AE">
      <w:pPr>
        <w:rPr>
          <w:rFonts w:ascii="Times New Roman" w:hAnsi="Times New Roman" w:cs="Times New Roman"/>
          <w:color w:val="000000"/>
        </w:rPr>
      </w:pPr>
      <w:r w:rsidRPr="00F2155D">
        <w:rPr>
          <w:rFonts w:ascii="Times New Roman" w:hAnsi="Times New Roman" w:cs="Times New Roman"/>
          <w:color w:val="000000"/>
        </w:rPr>
        <w:t>V roce 2025 bychom měli vytřídit šedesát procent z celkově vyprodukovaného odpadu, zatím se této hranici zdaleka nepřibližujeme.</w:t>
      </w:r>
    </w:p>
    <w:p w14:paraId="2FAAC925"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 xml:space="preserve">V roce 2022 obec Mikulovice zavedla sběr rostlinného bioodpadu. Díky tomuto kroku </w:t>
      </w:r>
      <w:proofErr w:type="gramStart"/>
      <w:r w:rsidRPr="00F2155D">
        <w:rPr>
          <w:rFonts w:ascii="Times New Roman" w:hAnsi="Times New Roman" w:cs="Times New Roman"/>
          <w:color w:val="000000"/>
        </w:rPr>
        <w:t>nám  výrazně</w:t>
      </w:r>
      <w:proofErr w:type="gramEnd"/>
      <w:r w:rsidRPr="00F2155D">
        <w:rPr>
          <w:rFonts w:ascii="Times New Roman" w:hAnsi="Times New Roman" w:cs="Times New Roman"/>
          <w:color w:val="000000"/>
        </w:rPr>
        <w:t xml:space="preserve"> stouplo množství vytříděného odpadu.</w:t>
      </w:r>
    </w:p>
    <w:p w14:paraId="45F34D0F"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Do nádob na rostlinný bioodpad mohou občané odložit:</w:t>
      </w:r>
    </w:p>
    <w:p w14:paraId="21E01044" w14:textId="77777777" w:rsidR="00A637AE" w:rsidRPr="00F2155D" w:rsidRDefault="00A637AE" w:rsidP="00A637AE">
      <w:pPr>
        <w:pStyle w:val="Normlnweb"/>
        <w:numPr>
          <w:ilvl w:val="0"/>
          <w:numId w:val="1"/>
        </w:numPr>
        <w:spacing w:after="0"/>
        <w:rPr>
          <w:sz w:val="22"/>
          <w:szCs w:val="22"/>
        </w:rPr>
      </w:pPr>
      <w:r w:rsidRPr="00F2155D">
        <w:rPr>
          <w:sz w:val="22"/>
          <w:szCs w:val="22"/>
        </w:rPr>
        <w:t>papírová plata na vejce, ruličky od toaletního papíru</w:t>
      </w:r>
    </w:p>
    <w:p w14:paraId="2BDCD60C"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lastRenderedPageBreak/>
        <w:t>tráva, plevel, drny se zeminou</w:t>
      </w:r>
    </w:p>
    <w:p w14:paraId="520C5FED"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košťály a celé rostliny, zbytky rostlin, ovoce a zeleniny, slupky</w:t>
      </w:r>
    </w:p>
    <w:p w14:paraId="3FC8F192"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listí, větve</w:t>
      </w:r>
    </w:p>
    <w:p w14:paraId="1AE84C27"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piliny, hobliny, kůra, štěpka</w:t>
      </w:r>
    </w:p>
    <w:p w14:paraId="5CBE2D0A"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seno, sláma</w:t>
      </w:r>
    </w:p>
    <w:p w14:paraId="06D2AD4E" w14:textId="77777777" w:rsidR="00A637AE" w:rsidRPr="00F2155D" w:rsidRDefault="00A637AE" w:rsidP="00A637AE">
      <w:pPr>
        <w:numPr>
          <w:ilvl w:val="0"/>
          <w:numId w:val="1"/>
        </w:numPr>
        <w:spacing w:before="100" w:beforeAutospacing="1"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vychladlý popel ze spalování dřeva</w:t>
      </w:r>
    </w:p>
    <w:p w14:paraId="5B4F468D" w14:textId="77777777" w:rsidR="00A637AE" w:rsidRDefault="00A637AE" w:rsidP="00A637AE">
      <w:pPr>
        <w:spacing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xml:space="preserve">Na tuto službu jsme si zvykli a občané ji hojně využívají. Je však </w:t>
      </w:r>
      <w:proofErr w:type="gramStart"/>
      <w:r w:rsidRPr="00F2155D">
        <w:rPr>
          <w:rFonts w:ascii="Times New Roman" w:eastAsia="Times New Roman" w:hAnsi="Times New Roman" w:cs="Times New Roman"/>
          <w:color w:val="000000"/>
          <w:lang w:eastAsia="cs-CZ"/>
        </w:rPr>
        <w:t>nutné  připomenout</w:t>
      </w:r>
      <w:proofErr w:type="gramEnd"/>
      <w:r w:rsidRPr="00F2155D">
        <w:rPr>
          <w:rFonts w:ascii="Times New Roman" w:eastAsia="Times New Roman" w:hAnsi="Times New Roman" w:cs="Times New Roman"/>
          <w:color w:val="000000"/>
          <w:lang w:eastAsia="cs-CZ"/>
        </w:rPr>
        <w:t xml:space="preserve">, </w:t>
      </w:r>
      <w:proofErr w:type="gramStart"/>
      <w:r w:rsidRPr="00F2155D">
        <w:rPr>
          <w:rFonts w:ascii="Times New Roman" w:eastAsia="Times New Roman" w:hAnsi="Times New Roman" w:cs="Times New Roman"/>
          <w:color w:val="000000"/>
          <w:lang w:eastAsia="cs-CZ"/>
        </w:rPr>
        <w:t>že  nádoby</w:t>
      </w:r>
      <w:proofErr w:type="gramEnd"/>
      <w:r w:rsidRPr="00F2155D">
        <w:rPr>
          <w:rFonts w:ascii="Times New Roman" w:eastAsia="Times New Roman" w:hAnsi="Times New Roman" w:cs="Times New Roman"/>
          <w:color w:val="000000"/>
          <w:lang w:eastAsia="cs-CZ"/>
        </w:rPr>
        <w:t xml:space="preserve"> na rostlinný bioodpad nejsou primárně určeny pro odvoz posekané trávy. Samozřejmě</w:t>
      </w:r>
      <w:r>
        <w:rPr>
          <w:rFonts w:ascii="Times New Roman" w:eastAsia="Times New Roman" w:hAnsi="Times New Roman" w:cs="Times New Roman"/>
          <w:color w:val="000000"/>
          <w:lang w:eastAsia="cs-CZ"/>
        </w:rPr>
        <w:t>,</w:t>
      </w:r>
      <w:r w:rsidRPr="00F2155D">
        <w:rPr>
          <w:rFonts w:ascii="Times New Roman" w:eastAsia="Times New Roman" w:hAnsi="Times New Roman" w:cs="Times New Roman"/>
          <w:color w:val="000000"/>
          <w:lang w:eastAsia="cs-CZ"/>
        </w:rPr>
        <w:t xml:space="preserve"> že trávu sem můžeme odložit, tato služba však </w:t>
      </w:r>
      <w:proofErr w:type="gramStart"/>
      <w:r w:rsidRPr="00F2155D">
        <w:rPr>
          <w:rFonts w:ascii="Times New Roman" w:eastAsia="Times New Roman" w:hAnsi="Times New Roman" w:cs="Times New Roman"/>
          <w:color w:val="000000"/>
          <w:lang w:eastAsia="cs-CZ"/>
        </w:rPr>
        <w:t>nemá  fungovat</w:t>
      </w:r>
      <w:proofErr w:type="gramEnd"/>
      <w:r w:rsidRPr="00F2155D">
        <w:rPr>
          <w:rFonts w:ascii="Times New Roman" w:eastAsia="Times New Roman" w:hAnsi="Times New Roman" w:cs="Times New Roman"/>
          <w:color w:val="000000"/>
          <w:lang w:eastAsia="cs-CZ"/>
        </w:rPr>
        <w:t xml:space="preserve"> tak, že si vlastník nemovitosti pořídí 5 popelnic, do kterých </w:t>
      </w:r>
      <w:proofErr w:type="gramStart"/>
      <w:r w:rsidRPr="00F2155D">
        <w:rPr>
          <w:rFonts w:ascii="Times New Roman" w:eastAsia="Times New Roman" w:hAnsi="Times New Roman" w:cs="Times New Roman"/>
          <w:color w:val="000000"/>
          <w:lang w:eastAsia="cs-CZ"/>
        </w:rPr>
        <w:t>nasype  posekanou</w:t>
      </w:r>
      <w:proofErr w:type="gramEnd"/>
      <w:r w:rsidRPr="00F2155D">
        <w:rPr>
          <w:rFonts w:ascii="Times New Roman" w:eastAsia="Times New Roman" w:hAnsi="Times New Roman" w:cs="Times New Roman"/>
          <w:color w:val="000000"/>
          <w:lang w:eastAsia="cs-CZ"/>
        </w:rPr>
        <w:t xml:space="preserve"> trávu. Trávu z našich zahrad bychom měli především kompostovat na vlastních pozemcích. Komunitní kompostárna už pro skládkování trávy nefunguje a my si uvědomujeme, </w:t>
      </w:r>
      <w:proofErr w:type="gramStart"/>
      <w:r w:rsidRPr="00F2155D">
        <w:rPr>
          <w:rFonts w:ascii="Times New Roman" w:eastAsia="Times New Roman" w:hAnsi="Times New Roman" w:cs="Times New Roman"/>
          <w:color w:val="000000"/>
          <w:lang w:eastAsia="cs-CZ"/>
        </w:rPr>
        <w:t>že  pro</w:t>
      </w:r>
      <w:proofErr w:type="gramEnd"/>
      <w:r w:rsidRPr="00F2155D">
        <w:rPr>
          <w:rFonts w:ascii="Times New Roman" w:eastAsia="Times New Roman" w:hAnsi="Times New Roman" w:cs="Times New Roman"/>
          <w:color w:val="000000"/>
          <w:lang w:eastAsia="cs-CZ"/>
        </w:rPr>
        <w:t xml:space="preserve"> nás všechny to </w:t>
      </w:r>
      <w:proofErr w:type="gramStart"/>
      <w:r w:rsidRPr="00F2155D">
        <w:rPr>
          <w:rFonts w:ascii="Times New Roman" w:eastAsia="Times New Roman" w:hAnsi="Times New Roman" w:cs="Times New Roman"/>
          <w:color w:val="000000"/>
          <w:lang w:eastAsia="cs-CZ"/>
        </w:rPr>
        <w:t>byla  příjemná</w:t>
      </w:r>
      <w:proofErr w:type="gramEnd"/>
      <w:r w:rsidRPr="00F2155D">
        <w:rPr>
          <w:rFonts w:ascii="Times New Roman" w:eastAsia="Times New Roman" w:hAnsi="Times New Roman" w:cs="Times New Roman"/>
          <w:color w:val="000000"/>
          <w:lang w:eastAsia="cs-CZ"/>
        </w:rPr>
        <w:t xml:space="preserve"> služba. Bohužel, </w:t>
      </w:r>
      <w:proofErr w:type="gramStart"/>
      <w:r w:rsidRPr="00F2155D">
        <w:rPr>
          <w:rFonts w:ascii="Times New Roman" w:eastAsia="Times New Roman" w:hAnsi="Times New Roman" w:cs="Times New Roman"/>
          <w:color w:val="000000"/>
          <w:lang w:eastAsia="cs-CZ"/>
        </w:rPr>
        <w:t>dále  tento</w:t>
      </w:r>
      <w:proofErr w:type="gramEnd"/>
      <w:r w:rsidRPr="00F2155D">
        <w:rPr>
          <w:rFonts w:ascii="Times New Roman" w:eastAsia="Times New Roman" w:hAnsi="Times New Roman" w:cs="Times New Roman"/>
          <w:color w:val="000000"/>
          <w:lang w:eastAsia="cs-CZ"/>
        </w:rPr>
        <w:t xml:space="preserve"> stav byl neudržitelný. </w:t>
      </w:r>
    </w:p>
    <w:p w14:paraId="0B52786D" w14:textId="77777777" w:rsidR="00A637AE" w:rsidRPr="00F2155D" w:rsidRDefault="00A637AE" w:rsidP="00A637AE">
      <w:pPr>
        <w:spacing w:after="0" w:line="240" w:lineRule="auto"/>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xml:space="preserve">Další novinkou, zavedenou do provozu v roce 2022 je sběr plastového odpadu systémem </w:t>
      </w:r>
      <w:proofErr w:type="spellStart"/>
      <w:r w:rsidRPr="00F2155D">
        <w:rPr>
          <w:rFonts w:ascii="Times New Roman" w:eastAsia="Times New Roman" w:hAnsi="Times New Roman" w:cs="Times New Roman"/>
          <w:color w:val="000000"/>
          <w:lang w:eastAsia="cs-CZ"/>
        </w:rPr>
        <w:t>door</w:t>
      </w:r>
      <w:proofErr w:type="spellEnd"/>
      <w:r w:rsidRPr="00F2155D">
        <w:rPr>
          <w:rFonts w:ascii="Times New Roman" w:eastAsia="Times New Roman" w:hAnsi="Times New Roman" w:cs="Times New Roman"/>
          <w:color w:val="000000"/>
          <w:lang w:eastAsia="cs-CZ"/>
        </w:rPr>
        <w:t xml:space="preserve"> to </w:t>
      </w:r>
      <w:proofErr w:type="spellStart"/>
      <w:r w:rsidRPr="00F2155D">
        <w:rPr>
          <w:rFonts w:ascii="Times New Roman" w:eastAsia="Times New Roman" w:hAnsi="Times New Roman" w:cs="Times New Roman"/>
          <w:color w:val="000000"/>
          <w:lang w:eastAsia="cs-CZ"/>
        </w:rPr>
        <w:t>door</w:t>
      </w:r>
      <w:proofErr w:type="spellEnd"/>
      <w:r w:rsidRPr="00F2155D">
        <w:rPr>
          <w:rFonts w:ascii="Times New Roman" w:eastAsia="Times New Roman" w:hAnsi="Times New Roman" w:cs="Times New Roman"/>
          <w:color w:val="000000"/>
          <w:lang w:eastAsia="cs-CZ"/>
        </w:rPr>
        <w:t xml:space="preserve"> – tedy přímo od domu. Zajímavým jevem je fakt, že zavedením tohoto systému došlo k poklesu množství vytříděného plastu. Vzhledem k tomu, že došlo k poklesu množství směsného odpadu zle předpokládat, že sem plast nemizí. Budeme tedy doufat, že ke snížení množství vytříděného plastu došlo proto, že zkrátka jednorázové plastové obaly používáme méně. Důležitým výsledkem zavedení systému </w:t>
      </w:r>
      <w:proofErr w:type="spellStart"/>
      <w:r w:rsidRPr="00F2155D">
        <w:rPr>
          <w:rFonts w:ascii="Times New Roman" w:eastAsia="Times New Roman" w:hAnsi="Times New Roman" w:cs="Times New Roman"/>
          <w:color w:val="000000"/>
          <w:lang w:eastAsia="cs-CZ"/>
        </w:rPr>
        <w:t>door</w:t>
      </w:r>
      <w:proofErr w:type="spellEnd"/>
      <w:r w:rsidRPr="00F2155D">
        <w:rPr>
          <w:rFonts w:ascii="Times New Roman" w:eastAsia="Times New Roman" w:hAnsi="Times New Roman" w:cs="Times New Roman"/>
          <w:color w:val="000000"/>
          <w:lang w:eastAsia="cs-CZ"/>
        </w:rPr>
        <w:t xml:space="preserve"> to </w:t>
      </w:r>
      <w:proofErr w:type="spellStart"/>
      <w:r w:rsidRPr="00F2155D">
        <w:rPr>
          <w:rFonts w:ascii="Times New Roman" w:eastAsia="Times New Roman" w:hAnsi="Times New Roman" w:cs="Times New Roman"/>
          <w:color w:val="000000"/>
          <w:lang w:eastAsia="cs-CZ"/>
        </w:rPr>
        <w:t>door</w:t>
      </w:r>
      <w:proofErr w:type="spellEnd"/>
      <w:r w:rsidRPr="00F2155D">
        <w:rPr>
          <w:rFonts w:ascii="Times New Roman" w:eastAsia="Times New Roman" w:hAnsi="Times New Roman" w:cs="Times New Roman"/>
          <w:color w:val="000000"/>
          <w:lang w:eastAsia="cs-CZ"/>
        </w:rPr>
        <w:t xml:space="preserve"> je zkvalitnění třídění plastů.</w:t>
      </w:r>
    </w:p>
    <w:p w14:paraId="75E2A1F8" w14:textId="77777777" w:rsidR="00A637AE" w:rsidRPr="00F2155D" w:rsidRDefault="00A637AE" w:rsidP="00A637AE">
      <w:pPr>
        <w:spacing w:before="100" w:beforeAutospacing="1" w:after="100" w:afterAutospacing="1" w:line="240" w:lineRule="auto"/>
        <w:rPr>
          <w:rFonts w:ascii="Times New Roman" w:eastAsia="Times New Roman" w:hAnsi="Times New Roman" w:cs="Times New Roman"/>
          <w:color w:val="000000"/>
          <w:u w:val="single"/>
          <w:lang w:eastAsia="cs-CZ"/>
        </w:rPr>
      </w:pPr>
      <w:r w:rsidRPr="00F2155D">
        <w:rPr>
          <w:rFonts w:ascii="Times New Roman" w:eastAsia="Times New Roman" w:hAnsi="Times New Roman" w:cs="Times New Roman"/>
          <w:color w:val="000000"/>
          <w:u w:val="single"/>
          <w:lang w:eastAsia="cs-CZ"/>
        </w:rPr>
        <w:t>3) Kvantifikované výsledky odpadového hospodářství obce včetně nákladů na provoz obecního systému za rok 2022.</w:t>
      </w:r>
    </w:p>
    <w:p w14:paraId="126CA607" w14:textId="77777777" w:rsidR="00A637AE" w:rsidRPr="00F2155D" w:rsidRDefault="00A637AE" w:rsidP="00A637AE">
      <w:pPr>
        <w:spacing w:after="0"/>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a) Počet obyvatel: 2483</w:t>
      </w:r>
      <w:r w:rsidRPr="00F2155D">
        <w:rPr>
          <w:rFonts w:ascii="Times New Roman" w:eastAsia="Times New Roman" w:hAnsi="Times New Roman" w:cs="Times New Roman"/>
          <w:color w:val="FF0000"/>
          <w:lang w:eastAsia="cs-CZ"/>
        </w:rPr>
        <w:br/>
      </w:r>
      <w:r w:rsidRPr="00F2155D">
        <w:rPr>
          <w:rFonts w:ascii="Times New Roman" w:eastAsia="Times New Roman" w:hAnsi="Times New Roman" w:cs="Times New Roman"/>
          <w:color w:val="000000"/>
          <w:lang w:eastAsia="cs-CZ"/>
        </w:rPr>
        <w:t xml:space="preserve">b) Četnost svozů směsného komunálního </w:t>
      </w:r>
      <w:proofErr w:type="gramStart"/>
      <w:r w:rsidRPr="00F2155D">
        <w:rPr>
          <w:rFonts w:ascii="Times New Roman" w:eastAsia="Times New Roman" w:hAnsi="Times New Roman" w:cs="Times New Roman"/>
          <w:color w:val="000000"/>
          <w:lang w:eastAsia="cs-CZ"/>
        </w:rPr>
        <w:t>odpadu :</w:t>
      </w:r>
      <w:proofErr w:type="gramEnd"/>
      <w:r w:rsidRPr="00F2155D">
        <w:rPr>
          <w:rFonts w:ascii="Times New Roman" w:eastAsia="Times New Roman" w:hAnsi="Times New Roman" w:cs="Times New Roman"/>
          <w:color w:val="000000"/>
          <w:lang w:eastAsia="cs-CZ"/>
        </w:rPr>
        <w:t xml:space="preserve"> 14 dnů/ 1 měsíc</w:t>
      </w:r>
      <w:r w:rsidRPr="00F2155D">
        <w:rPr>
          <w:rFonts w:ascii="Times New Roman" w:eastAsia="Times New Roman" w:hAnsi="Times New Roman" w:cs="Times New Roman"/>
          <w:color w:val="000000"/>
          <w:lang w:eastAsia="cs-CZ"/>
        </w:rPr>
        <w:br/>
        <w:t>c) Počet kontejnerů na tříděný odpad - 320, četnost svozu:</w:t>
      </w:r>
      <w:r w:rsidRPr="00F2155D">
        <w:rPr>
          <w:rFonts w:ascii="Times New Roman" w:eastAsia="Times New Roman" w:hAnsi="Times New Roman" w:cs="Times New Roman"/>
          <w:color w:val="000000"/>
          <w:lang w:eastAsia="cs-CZ"/>
        </w:rPr>
        <w:br/>
        <w:t xml:space="preserve">Papír, plasty, sklo, kovy, kompozitní obaly, se soustřeďují do zvláštních sběrných nádob, kterými jsou nádoby velikosti 1100 l </w:t>
      </w:r>
      <w:proofErr w:type="gramStart"/>
      <w:r w:rsidRPr="00F2155D">
        <w:rPr>
          <w:rFonts w:ascii="Times New Roman" w:eastAsia="Times New Roman" w:hAnsi="Times New Roman" w:cs="Times New Roman"/>
          <w:color w:val="000000"/>
          <w:lang w:eastAsia="cs-CZ"/>
        </w:rPr>
        <w:t>a  240</w:t>
      </w:r>
      <w:proofErr w:type="gramEnd"/>
      <w:r w:rsidRPr="00F2155D">
        <w:rPr>
          <w:rFonts w:ascii="Times New Roman" w:eastAsia="Times New Roman" w:hAnsi="Times New Roman" w:cs="Times New Roman"/>
          <w:color w:val="000000"/>
          <w:lang w:eastAsia="cs-CZ"/>
        </w:rPr>
        <w:t xml:space="preserve"> </w:t>
      </w:r>
      <w:proofErr w:type="gramStart"/>
      <w:r w:rsidRPr="00F2155D">
        <w:rPr>
          <w:rFonts w:ascii="Times New Roman" w:eastAsia="Times New Roman" w:hAnsi="Times New Roman" w:cs="Times New Roman"/>
          <w:color w:val="000000"/>
          <w:lang w:eastAsia="cs-CZ"/>
        </w:rPr>
        <w:t>l ,</w:t>
      </w:r>
      <w:proofErr w:type="gramEnd"/>
      <w:r w:rsidRPr="00F2155D">
        <w:rPr>
          <w:rFonts w:ascii="Times New Roman" w:eastAsia="Times New Roman" w:hAnsi="Times New Roman" w:cs="Times New Roman"/>
          <w:color w:val="000000"/>
          <w:lang w:eastAsia="cs-CZ"/>
        </w:rPr>
        <w:t xml:space="preserve"> jsou označeny příslušnými nápisy a zcela nebo částečně barevně odlišeny.</w:t>
      </w:r>
      <w:r w:rsidRPr="00F2155D">
        <w:rPr>
          <w:rFonts w:ascii="Times New Roman" w:eastAsia="Times New Roman" w:hAnsi="Times New Roman" w:cs="Times New Roman"/>
          <w:color w:val="000000"/>
          <w:lang w:eastAsia="cs-CZ"/>
        </w:rPr>
        <w:br/>
        <w:t xml:space="preserve">    - Papír 26 svozů ročně </w:t>
      </w:r>
      <w:proofErr w:type="gramStart"/>
      <w:r w:rsidRPr="00F2155D">
        <w:rPr>
          <w:rFonts w:ascii="Times New Roman" w:eastAsia="Times New Roman" w:hAnsi="Times New Roman" w:cs="Times New Roman"/>
          <w:color w:val="000000"/>
          <w:lang w:eastAsia="cs-CZ"/>
        </w:rPr>
        <w:t>/  1</w:t>
      </w:r>
      <w:proofErr w:type="gramEnd"/>
      <w:r w:rsidRPr="00F2155D">
        <w:rPr>
          <w:rFonts w:ascii="Times New Roman" w:eastAsia="Times New Roman" w:hAnsi="Times New Roman" w:cs="Times New Roman"/>
          <w:color w:val="000000"/>
          <w:lang w:eastAsia="cs-CZ"/>
        </w:rPr>
        <w:t xml:space="preserve"> x za 2 týdny</w:t>
      </w:r>
      <w:r w:rsidRPr="00F2155D">
        <w:rPr>
          <w:rFonts w:ascii="Times New Roman" w:eastAsia="Times New Roman" w:hAnsi="Times New Roman" w:cs="Times New Roman"/>
          <w:color w:val="000000"/>
          <w:lang w:eastAsia="cs-CZ"/>
        </w:rPr>
        <w:br/>
        <w:t xml:space="preserve">    - Plast 34 svozů ročně / </w:t>
      </w:r>
      <w:proofErr w:type="gramStart"/>
      <w:r w:rsidRPr="00F2155D">
        <w:rPr>
          <w:rFonts w:ascii="Times New Roman" w:eastAsia="Times New Roman" w:hAnsi="Times New Roman" w:cs="Times New Roman"/>
          <w:color w:val="000000"/>
          <w:lang w:eastAsia="cs-CZ"/>
        </w:rPr>
        <w:t>říjen – duben</w:t>
      </w:r>
      <w:proofErr w:type="gramEnd"/>
      <w:r w:rsidRPr="00F2155D">
        <w:rPr>
          <w:rFonts w:ascii="Times New Roman" w:eastAsia="Times New Roman" w:hAnsi="Times New Roman" w:cs="Times New Roman"/>
          <w:color w:val="000000"/>
          <w:lang w:eastAsia="cs-CZ"/>
        </w:rPr>
        <w:t>- 1 x za 2 týdny, květen-</w:t>
      </w:r>
      <w:proofErr w:type="gramStart"/>
      <w:r w:rsidRPr="00F2155D">
        <w:rPr>
          <w:rFonts w:ascii="Times New Roman" w:eastAsia="Times New Roman" w:hAnsi="Times New Roman" w:cs="Times New Roman"/>
          <w:color w:val="000000"/>
          <w:lang w:eastAsia="cs-CZ"/>
        </w:rPr>
        <w:t>září – 1</w:t>
      </w:r>
      <w:proofErr w:type="gramEnd"/>
      <w:r w:rsidRPr="00F2155D">
        <w:rPr>
          <w:rFonts w:ascii="Times New Roman" w:eastAsia="Times New Roman" w:hAnsi="Times New Roman" w:cs="Times New Roman"/>
          <w:color w:val="000000"/>
          <w:lang w:eastAsia="cs-CZ"/>
        </w:rPr>
        <w:t xml:space="preserve"> x týdně</w:t>
      </w:r>
    </w:p>
    <w:p w14:paraId="6D2A02A1" w14:textId="77777777" w:rsidR="00A637AE" w:rsidRPr="00F2155D" w:rsidRDefault="00A637AE" w:rsidP="00A637AE">
      <w:pPr>
        <w:spacing w:after="0"/>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 Sklo 12 svozů ročně / 1 x za měsíc</w:t>
      </w:r>
    </w:p>
    <w:p w14:paraId="7FB3BB24" w14:textId="77777777" w:rsidR="00A637AE" w:rsidRPr="00F2155D" w:rsidRDefault="00A637AE" w:rsidP="00A637AE">
      <w:pPr>
        <w:spacing w:after="0"/>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 Kovové odpady 12 svozů ročně / 1 x za měsíc</w:t>
      </w:r>
    </w:p>
    <w:p w14:paraId="2D1F6092" w14:textId="77777777" w:rsidR="00A637AE" w:rsidRPr="00F2155D" w:rsidRDefault="00A637AE" w:rsidP="00A637AE">
      <w:pPr>
        <w:spacing w:after="0"/>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xml:space="preserve">    - Kompozitní obaly 12 svozů ročně/ 1 x za měsíc</w:t>
      </w:r>
      <w:r w:rsidRPr="00F2155D">
        <w:rPr>
          <w:rFonts w:ascii="Times New Roman" w:eastAsia="Times New Roman" w:hAnsi="Times New Roman" w:cs="Times New Roman"/>
          <w:color w:val="000000"/>
          <w:lang w:eastAsia="cs-CZ"/>
        </w:rPr>
        <w:br/>
        <w:t xml:space="preserve">    - Objemný odpad – svoz objemného odpadu je zajišťován celoročně na sběrném dvoře.    </w:t>
      </w:r>
    </w:p>
    <w:p w14:paraId="27C88AB2" w14:textId="77777777" w:rsidR="00A637AE" w:rsidRPr="00F2155D" w:rsidRDefault="00A637AE" w:rsidP="00A637AE">
      <w:pPr>
        <w:spacing w:after="0"/>
        <w:rPr>
          <w:rFonts w:ascii="Times New Roman" w:eastAsia="Times New Roman" w:hAnsi="Times New Roman" w:cs="Times New Roman"/>
          <w:color w:val="000000"/>
          <w:lang w:eastAsia="cs-CZ"/>
        </w:rPr>
      </w:pPr>
      <w:r w:rsidRPr="00F2155D">
        <w:rPr>
          <w:rFonts w:ascii="Times New Roman" w:eastAsia="Times New Roman" w:hAnsi="Times New Roman" w:cs="Times New Roman"/>
          <w:color w:val="000000"/>
          <w:lang w:eastAsia="cs-CZ"/>
        </w:rPr>
        <w:t xml:space="preserve">    - Nebezpečný odpad – svoz objemného odpadu je zajišťován celoročně na sběrném dvoře.</w:t>
      </w:r>
    </w:p>
    <w:p w14:paraId="537D9758" w14:textId="77777777" w:rsidR="00A637AE" w:rsidRPr="00F2155D" w:rsidRDefault="00A637AE" w:rsidP="00A637AE">
      <w:pPr>
        <w:spacing w:after="0"/>
        <w:rPr>
          <w:rFonts w:ascii="Times New Roman" w:hAnsi="Times New Roman" w:cs="Times New Roman"/>
        </w:rPr>
      </w:pPr>
    </w:p>
    <w:p w14:paraId="1423EC27" w14:textId="77777777" w:rsidR="00A637AE" w:rsidRPr="00F2155D" w:rsidRDefault="00A637AE" w:rsidP="00A637AE">
      <w:pPr>
        <w:spacing w:after="0"/>
        <w:rPr>
          <w:rFonts w:ascii="Times New Roman" w:hAnsi="Times New Roman" w:cs="Times New Roman"/>
        </w:rPr>
      </w:pPr>
      <w:r w:rsidRPr="00F2155D">
        <w:rPr>
          <w:rFonts w:ascii="Times New Roman" w:hAnsi="Times New Roman" w:cs="Times New Roman"/>
        </w:rPr>
        <w:t xml:space="preserve">Počty stanovišť a nádob na vytříděný odpad </w:t>
      </w:r>
    </w:p>
    <w:p w14:paraId="41275E33" w14:textId="77777777" w:rsidR="00A637AE" w:rsidRPr="00F2155D" w:rsidRDefault="00A637AE" w:rsidP="00A637AE">
      <w:pPr>
        <w:spacing w:after="0"/>
        <w:rPr>
          <w:rFonts w:ascii="Times New Roman" w:hAnsi="Times New Roman" w:cs="Times New Roman"/>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0"/>
        <w:gridCol w:w="1905"/>
        <w:gridCol w:w="1770"/>
        <w:gridCol w:w="1560"/>
        <w:gridCol w:w="1635"/>
      </w:tblGrid>
      <w:tr w:rsidR="00A637AE" w:rsidRPr="00F2155D" w14:paraId="1F3CF9B3" w14:textId="77777777" w:rsidTr="00502F90">
        <w:trPr>
          <w:trHeight w:val="560"/>
        </w:trPr>
        <w:tc>
          <w:tcPr>
            <w:tcW w:w="2100" w:type="dxa"/>
          </w:tcPr>
          <w:p w14:paraId="1E558FB0" w14:textId="77777777" w:rsidR="00A637AE" w:rsidRPr="00F2155D" w:rsidRDefault="00A637AE" w:rsidP="00502F90">
            <w:pPr>
              <w:spacing w:after="0"/>
              <w:ind w:left="22"/>
              <w:jc w:val="center"/>
              <w:rPr>
                <w:rFonts w:ascii="Times New Roman" w:hAnsi="Times New Roman" w:cs="Times New Roman"/>
              </w:rPr>
            </w:pPr>
            <w:r w:rsidRPr="00F2155D">
              <w:rPr>
                <w:rFonts w:ascii="Times New Roman" w:hAnsi="Times New Roman" w:cs="Times New Roman"/>
              </w:rPr>
              <w:t>Komodita</w:t>
            </w:r>
          </w:p>
          <w:p w14:paraId="53761F83" w14:textId="77777777" w:rsidR="00A637AE" w:rsidRPr="00F2155D" w:rsidRDefault="00A637AE" w:rsidP="00502F90">
            <w:pPr>
              <w:spacing w:after="0"/>
              <w:ind w:left="22"/>
              <w:jc w:val="center"/>
              <w:rPr>
                <w:rFonts w:ascii="Times New Roman" w:hAnsi="Times New Roman" w:cs="Times New Roman"/>
              </w:rPr>
            </w:pPr>
          </w:p>
        </w:tc>
        <w:tc>
          <w:tcPr>
            <w:tcW w:w="1905" w:type="dxa"/>
          </w:tcPr>
          <w:p w14:paraId="75A3D6DA" w14:textId="77777777" w:rsidR="00A637AE" w:rsidRPr="00F2155D" w:rsidRDefault="00A637AE" w:rsidP="00502F90">
            <w:pPr>
              <w:jc w:val="center"/>
              <w:rPr>
                <w:rFonts w:ascii="Times New Roman" w:hAnsi="Times New Roman" w:cs="Times New Roman"/>
              </w:rPr>
            </w:pPr>
            <w:r w:rsidRPr="00F2155D">
              <w:rPr>
                <w:rFonts w:ascii="Times New Roman" w:hAnsi="Times New Roman" w:cs="Times New Roman"/>
              </w:rPr>
              <w:t>Barva kontejnerů</w:t>
            </w:r>
          </w:p>
          <w:p w14:paraId="29766979" w14:textId="77777777" w:rsidR="00A637AE" w:rsidRPr="00F2155D" w:rsidRDefault="00A637AE" w:rsidP="00502F90">
            <w:pPr>
              <w:spacing w:after="0"/>
              <w:ind w:left="22"/>
              <w:jc w:val="center"/>
              <w:rPr>
                <w:rFonts w:ascii="Times New Roman" w:hAnsi="Times New Roman" w:cs="Times New Roman"/>
              </w:rPr>
            </w:pPr>
          </w:p>
        </w:tc>
        <w:tc>
          <w:tcPr>
            <w:tcW w:w="1770" w:type="dxa"/>
          </w:tcPr>
          <w:p w14:paraId="3EB91F99" w14:textId="77777777" w:rsidR="00A637AE" w:rsidRPr="00F2155D" w:rsidRDefault="00A637AE" w:rsidP="00502F90">
            <w:pPr>
              <w:jc w:val="center"/>
              <w:rPr>
                <w:rFonts w:ascii="Times New Roman" w:hAnsi="Times New Roman" w:cs="Times New Roman"/>
              </w:rPr>
            </w:pPr>
            <w:r w:rsidRPr="00F2155D">
              <w:rPr>
                <w:rFonts w:ascii="Times New Roman" w:hAnsi="Times New Roman" w:cs="Times New Roman"/>
              </w:rPr>
              <w:t>Počet sběrných hnízd</w:t>
            </w:r>
          </w:p>
          <w:p w14:paraId="5EFE05D9" w14:textId="77777777" w:rsidR="00A637AE" w:rsidRPr="00F2155D" w:rsidRDefault="00A637AE" w:rsidP="00502F90">
            <w:pPr>
              <w:spacing w:after="0"/>
              <w:ind w:left="22"/>
              <w:jc w:val="center"/>
              <w:rPr>
                <w:rFonts w:ascii="Times New Roman" w:hAnsi="Times New Roman" w:cs="Times New Roman"/>
              </w:rPr>
            </w:pPr>
          </w:p>
        </w:tc>
        <w:tc>
          <w:tcPr>
            <w:tcW w:w="1560" w:type="dxa"/>
          </w:tcPr>
          <w:p w14:paraId="52334ACB" w14:textId="77777777" w:rsidR="00A637AE" w:rsidRPr="00F2155D" w:rsidRDefault="00A637AE" w:rsidP="00502F90">
            <w:pPr>
              <w:jc w:val="center"/>
              <w:rPr>
                <w:rFonts w:ascii="Times New Roman" w:hAnsi="Times New Roman" w:cs="Times New Roman"/>
              </w:rPr>
            </w:pPr>
            <w:r w:rsidRPr="00F2155D">
              <w:rPr>
                <w:rFonts w:ascii="Times New Roman" w:hAnsi="Times New Roman" w:cs="Times New Roman"/>
              </w:rPr>
              <w:t>Počet nádob a objem</w:t>
            </w:r>
          </w:p>
          <w:p w14:paraId="14C93C58" w14:textId="77777777" w:rsidR="00A637AE" w:rsidRPr="00F2155D" w:rsidRDefault="00A637AE" w:rsidP="00502F90">
            <w:pPr>
              <w:spacing w:after="0"/>
              <w:ind w:left="22"/>
              <w:jc w:val="center"/>
              <w:rPr>
                <w:rFonts w:ascii="Times New Roman" w:hAnsi="Times New Roman" w:cs="Times New Roman"/>
              </w:rPr>
            </w:pPr>
          </w:p>
        </w:tc>
        <w:tc>
          <w:tcPr>
            <w:tcW w:w="1635" w:type="dxa"/>
          </w:tcPr>
          <w:p w14:paraId="071CB358" w14:textId="77777777" w:rsidR="00A637AE" w:rsidRPr="00F2155D" w:rsidRDefault="00A637AE" w:rsidP="00502F90">
            <w:pPr>
              <w:jc w:val="center"/>
              <w:rPr>
                <w:rFonts w:ascii="Times New Roman" w:hAnsi="Times New Roman" w:cs="Times New Roman"/>
              </w:rPr>
            </w:pPr>
            <w:r w:rsidRPr="00F2155D">
              <w:rPr>
                <w:rFonts w:ascii="Times New Roman" w:hAnsi="Times New Roman" w:cs="Times New Roman"/>
              </w:rPr>
              <w:t>Černost svozu</w:t>
            </w:r>
          </w:p>
          <w:p w14:paraId="7318F35C" w14:textId="77777777" w:rsidR="00A637AE" w:rsidRPr="00F2155D" w:rsidRDefault="00A637AE" w:rsidP="00502F90">
            <w:pPr>
              <w:spacing w:after="0"/>
              <w:ind w:left="22"/>
              <w:jc w:val="center"/>
              <w:rPr>
                <w:rFonts w:ascii="Times New Roman" w:hAnsi="Times New Roman" w:cs="Times New Roman"/>
              </w:rPr>
            </w:pPr>
          </w:p>
        </w:tc>
      </w:tr>
      <w:tr w:rsidR="00A637AE" w:rsidRPr="00F2155D" w14:paraId="24E932E1" w14:textId="77777777" w:rsidTr="00502F90">
        <w:trPr>
          <w:trHeight w:val="600"/>
        </w:trPr>
        <w:tc>
          <w:tcPr>
            <w:tcW w:w="2100" w:type="dxa"/>
            <w:shd w:val="clear" w:color="auto" w:fill="FFFF00"/>
          </w:tcPr>
          <w:p w14:paraId="01440373"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Plast</w:t>
            </w:r>
          </w:p>
          <w:p w14:paraId="294507D4" w14:textId="77777777" w:rsidR="00A637AE" w:rsidRPr="00F2155D" w:rsidRDefault="00A637AE" w:rsidP="00502F90">
            <w:pPr>
              <w:spacing w:after="0"/>
              <w:ind w:left="22"/>
              <w:rPr>
                <w:rFonts w:ascii="Times New Roman" w:hAnsi="Times New Roman" w:cs="Times New Roman"/>
              </w:rPr>
            </w:pPr>
          </w:p>
        </w:tc>
        <w:tc>
          <w:tcPr>
            <w:tcW w:w="1905" w:type="dxa"/>
            <w:shd w:val="clear" w:color="auto" w:fill="FFFF00"/>
          </w:tcPr>
          <w:p w14:paraId="584A1A92" w14:textId="77777777" w:rsidR="00A637AE" w:rsidRPr="00F2155D" w:rsidRDefault="00A637AE" w:rsidP="00502F90">
            <w:pPr>
              <w:spacing w:after="0"/>
              <w:ind w:left="22"/>
              <w:jc w:val="center"/>
              <w:rPr>
                <w:rFonts w:ascii="Times New Roman" w:hAnsi="Times New Roman" w:cs="Times New Roman"/>
              </w:rPr>
            </w:pPr>
            <w:r w:rsidRPr="00F2155D">
              <w:rPr>
                <w:rFonts w:ascii="Times New Roman" w:hAnsi="Times New Roman" w:cs="Times New Roman"/>
              </w:rPr>
              <w:t>žlutá</w:t>
            </w:r>
          </w:p>
        </w:tc>
        <w:tc>
          <w:tcPr>
            <w:tcW w:w="1770" w:type="dxa"/>
            <w:shd w:val="clear" w:color="auto" w:fill="FFFF00"/>
          </w:tcPr>
          <w:p w14:paraId="2DEA2E1E"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44</w:t>
            </w:r>
          </w:p>
        </w:tc>
        <w:tc>
          <w:tcPr>
            <w:tcW w:w="1560" w:type="dxa"/>
            <w:shd w:val="clear" w:color="auto" w:fill="FFFF00"/>
          </w:tcPr>
          <w:p w14:paraId="0BF7F33E" w14:textId="77777777" w:rsidR="00A637AE" w:rsidRPr="00F2155D" w:rsidRDefault="00A637AE" w:rsidP="00502F90">
            <w:pPr>
              <w:spacing w:after="0"/>
              <w:ind w:left="22"/>
              <w:rPr>
                <w:rFonts w:ascii="Times New Roman" w:hAnsi="Times New Roman" w:cs="Times New Roman"/>
              </w:rPr>
            </w:pPr>
            <w:proofErr w:type="gramStart"/>
            <w:r w:rsidRPr="00F2155D">
              <w:rPr>
                <w:rFonts w:ascii="Times New Roman" w:hAnsi="Times New Roman" w:cs="Times New Roman"/>
              </w:rPr>
              <w:t>95 -1100</w:t>
            </w:r>
            <w:proofErr w:type="gramEnd"/>
            <w:r w:rsidRPr="00F2155D">
              <w:rPr>
                <w:rFonts w:ascii="Times New Roman" w:hAnsi="Times New Roman" w:cs="Times New Roman"/>
              </w:rPr>
              <w:t xml:space="preserve"> l</w:t>
            </w:r>
          </w:p>
        </w:tc>
        <w:tc>
          <w:tcPr>
            <w:tcW w:w="1635" w:type="dxa"/>
            <w:shd w:val="clear" w:color="auto" w:fill="FFFF00"/>
          </w:tcPr>
          <w:p w14:paraId="423B49CB"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34 svozů ročně</w:t>
            </w:r>
          </w:p>
          <w:p w14:paraId="778ADA64"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léto-1 x za týden, zima 1 x za 2 týdny</w:t>
            </w:r>
          </w:p>
        </w:tc>
      </w:tr>
      <w:tr w:rsidR="00A637AE" w:rsidRPr="00F2155D" w14:paraId="479DEF0B" w14:textId="77777777" w:rsidTr="00502F90">
        <w:trPr>
          <w:trHeight w:val="630"/>
        </w:trPr>
        <w:tc>
          <w:tcPr>
            <w:tcW w:w="2100" w:type="dxa"/>
            <w:shd w:val="clear" w:color="auto" w:fill="45B0E1" w:themeFill="accent1" w:themeFillTint="99"/>
          </w:tcPr>
          <w:p w14:paraId="2151A1A8"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Papír</w:t>
            </w:r>
          </w:p>
          <w:p w14:paraId="53B35B2F" w14:textId="77777777" w:rsidR="00A637AE" w:rsidRPr="00F2155D" w:rsidRDefault="00A637AE" w:rsidP="00502F90">
            <w:pPr>
              <w:spacing w:after="0"/>
              <w:ind w:left="22"/>
              <w:rPr>
                <w:rFonts w:ascii="Times New Roman" w:hAnsi="Times New Roman" w:cs="Times New Roman"/>
              </w:rPr>
            </w:pPr>
          </w:p>
        </w:tc>
        <w:tc>
          <w:tcPr>
            <w:tcW w:w="1905" w:type="dxa"/>
            <w:shd w:val="clear" w:color="auto" w:fill="45B0E1" w:themeFill="accent1" w:themeFillTint="99"/>
          </w:tcPr>
          <w:p w14:paraId="22BDF9E9" w14:textId="77777777" w:rsidR="00A637AE" w:rsidRPr="00F2155D" w:rsidRDefault="00A637AE" w:rsidP="00502F90">
            <w:pPr>
              <w:spacing w:after="0"/>
              <w:ind w:left="22"/>
              <w:jc w:val="center"/>
              <w:rPr>
                <w:rFonts w:ascii="Times New Roman" w:hAnsi="Times New Roman" w:cs="Times New Roman"/>
              </w:rPr>
            </w:pPr>
            <w:r w:rsidRPr="00F2155D">
              <w:rPr>
                <w:rFonts w:ascii="Times New Roman" w:hAnsi="Times New Roman" w:cs="Times New Roman"/>
              </w:rPr>
              <w:t>modrá</w:t>
            </w:r>
          </w:p>
        </w:tc>
        <w:tc>
          <w:tcPr>
            <w:tcW w:w="1770" w:type="dxa"/>
            <w:shd w:val="clear" w:color="auto" w:fill="45B0E1" w:themeFill="accent1" w:themeFillTint="99"/>
          </w:tcPr>
          <w:p w14:paraId="6D291F55"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44</w:t>
            </w:r>
          </w:p>
        </w:tc>
        <w:tc>
          <w:tcPr>
            <w:tcW w:w="1560" w:type="dxa"/>
            <w:shd w:val="clear" w:color="auto" w:fill="45B0E1" w:themeFill="accent1" w:themeFillTint="99"/>
          </w:tcPr>
          <w:p w14:paraId="5DA3E8DA" w14:textId="77777777" w:rsidR="00A637AE" w:rsidRPr="00F2155D" w:rsidRDefault="00A637AE" w:rsidP="00502F90">
            <w:pPr>
              <w:spacing w:after="0"/>
              <w:ind w:left="22"/>
              <w:rPr>
                <w:rFonts w:ascii="Times New Roman" w:hAnsi="Times New Roman" w:cs="Times New Roman"/>
              </w:rPr>
            </w:pPr>
            <w:proofErr w:type="gramStart"/>
            <w:r w:rsidRPr="00F2155D">
              <w:rPr>
                <w:rFonts w:ascii="Times New Roman" w:hAnsi="Times New Roman" w:cs="Times New Roman"/>
              </w:rPr>
              <w:t>58 – 1100</w:t>
            </w:r>
            <w:proofErr w:type="gramEnd"/>
            <w:r w:rsidRPr="00F2155D">
              <w:rPr>
                <w:rFonts w:ascii="Times New Roman" w:hAnsi="Times New Roman" w:cs="Times New Roman"/>
              </w:rPr>
              <w:t xml:space="preserve"> l</w:t>
            </w:r>
          </w:p>
        </w:tc>
        <w:tc>
          <w:tcPr>
            <w:tcW w:w="1635" w:type="dxa"/>
            <w:shd w:val="clear" w:color="auto" w:fill="45B0E1" w:themeFill="accent1" w:themeFillTint="99"/>
          </w:tcPr>
          <w:p w14:paraId="7428DF77"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26 svozů ročně</w:t>
            </w:r>
          </w:p>
          <w:p w14:paraId="5F11C420"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1 x za 2 týdny</w:t>
            </w:r>
          </w:p>
        </w:tc>
      </w:tr>
      <w:tr w:rsidR="00A637AE" w:rsidRPr="00F2155D" w14:paraId="13AE760B" w14:textId="77777777" w:rsidTr="00502F90">
        <w:trPr>
          <w:trHeight w:val="780"/>
        </w:trPr>
        <w:tc>
          <w:tcPr>
            <w:tcW w:w="2100" w:type="dxa"/>
            <w:shd w:val="clear" w:color="auto" w:fill="B3E5A1" w:themeFill="accent6" w:themeFillTint="66"/>
          </w:tcPr>
          <w:p w14:paraId="10E856A9"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Sklo</w:t>
            </w:r>
          </w:p>
        </w:tc>
        <w:tc>
          <w:tcPr>
            <w:tcW w:w="1905" w:type="dxa"/>
            <w:shd w:val="clear" w:color="auto" w:fill="B3E5A1" w:themeFill="accent6" w:themeFillTint="66"/>
          </w:tcPr>
          <w:p w14:paraId="3C5146D2" w14:textId="77777777" w:rsidR="00A637AE" w:rsidRPr="00F2155D" w:rsidRDefault="00A637AE" w:rsidP="00502F90">
            <w:pPr>
              <w:spacing w:after="0"/>
              <w:ind w:left="22"/>
              <w:jc w:val="center"/>
              <w:rPr>
                <w:rFonts w:ascii="Times New Roman" w:hAnsi="Times New Roman" w:cs="Times New Roman"/>
              </w:rPr>
            </w:pPr>
            <w:r w:rsidRPr="00F2155D">
              <w:rPr>
                <w:rFonts w:ascii="Times New Roman" w:hAnsi="Times New Roman" w:cs="Times New Roman"/>
              </w:rPr>
              <w:t>zelená</w:t>
            </w:r>
          </w:p>
        </w:tc>
        <w:tc>
          <w:tcPr>
            <w:tcW w:w="1770" w:type="dxa"/>
            <w:shd w:val="clear" w:color="auto" w:fill="B3E5A1" w:themeFill="accent6" w:themeFillTint="66"/>
          </w:tcPr>
          <w:p w14:paraId="1516AD53"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46</w:t>
            </w:r>
          </w:p>
        </w:tc>
        <w:tc>
          <w:tcPr>
            <w:tcW w:w="1560" w:type="dxa"/>
            <w:shd w:val="clear" w:color="auto" w:fill="B3E5A1" w:themeFill="accent6" w:themeFillTint="66"/>
          </w:tcPr>
          <w:p w14:paraId="22040420" w14:textId="77777777" w:rsidR="00A637AE" w:rsidRPr="00F2155D" w:rsidRDefault="00A637AE" w:rsidP="00502F90">
            <w:pPr>
              <w:spacing w:after="0"/>
              <w:ind w:left="22"/>
              <w:rPr>
                <w:rFonts w:ascii="Times New Roman" w:hAnsi="Times New Roman" w:cs="Times New Roman"/>
              </w:rPr>
            </w:pPr>
            <w:proofErr w:type="gramStart"/>
            <w:r w:rsidRPr="00F2155D">
              <w:rPr>
                <w:rFonts w:ascii="Times New Roman" w:hAnsi="Times New Roman" w:cs="Times New Roman"/>
              </w:rPr>
              <w:t>53 – 1100</w:t>
            </w:r>
            <w:proofErr w:type="gramEnd"/>
            <w:r w:rsidRPr="00F2155D">
              <w:rPr>
                <w:rFonts w:ascii="Times New Roman" w:hAnsi="Times New Roman" w:cs="Times New Roman"/>
              </w:rPr>
              <w:t xml:space="preserve"> l</w:t>
            </w:r>
          </w:p>
          <w:p w14:paraId="0F1EF13B"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 xml:space="preserve">107 – </w:t>
            </w:r>
            <w:proofErr w:type="gramStart"/>
            <w:r w:rsidRPr="00F2155D">
              <w:rPr>
                <w:rFonts w:ascii="Times New Roman" w:hAnsi="Times New Roman" w:cs="Times New Roman"/>
              </w:rPr>
              <w:t>240l</w:t>
            </w:r>
            <w:proofErr w:type="gramEnd"/>
          </w:p>
        </w:tc>
        <w:tc>
          <w:tcPr>
            <w:tcW w:w="1635" w:type="dxa"/>
            <w:shd w:val="clear" w:color="auto" w:fill="B3E5A1" w:themeFill="accent6" w:themeFillTint="66"/>
          </w:tcPr>
          <w:p w14:paraId="3119215A"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12 svozů ročně</w:t>
            </w:r>
          </w:p>
          <w:p w14:paraId="2C214706" w14:textId="77777777" w:rsidR="00A637AE" w:rsidRPr="00F2155D" w:rsidRDefault="00A637AE" w:rsidP="00502F90">
            <w:pPr>
              <w:spacing w:after="0"/>
              <w:ind w:left="22"/>
              <w:rPr>
                <w:rFonts w:ascii="Times New Roman" w:hAnsi="Times New Roman" w:cs="Times New Roman"/>
              </w:rPr>
            </w:pPr>
            <w:r w:rsidRPr="00F2155D">
              <w:rPr>
                <w:rFonts w:ascii="Times New Roman" w:hAnsi="Times New Roman" w:cs="Times New Roman"/>
              </w:rPr>
              <w:t>1 x za měsíc</w:t>
            </w:r>
          </w:p>
        </w:tc>
      </w:tr>
    </w:tbl>
    <w:p w14:paraId="26F334B4" w14:textId="77777777" w:rsidR="00A637AE" w:rsidRPr="00F2155D" w:rsidRDefault="00A637AE" w:rsidP="00A637AE">
      <w:pPr>
        <w:spacing w:after="0"/>
        <w:rPr>
          <w:rFonts w:ascii="Times New Roman" w:hAnsi="Times New Roman" w:cs="Times New Roman"/>
          <w:color w:val="000000"/>
          <w:u w:val="single"/>
        </w:rPr>
      </w:pPr>
    </w:p>
    <w:p w14:paraId="5B39936A" w14:textId="77777777" w:rsidR="00A637AE" w:rsidRPr="00F2155D" w:rsidRDefault="00A637AE" w:rsidP="00A637AE">
      <w:pPr>
        <w:spacing w:after="0"/>
        <w:rPr>
          <w:rFonts w:ascii="Times New Roman" w:hAnsi="Times New Roman" w:cs="Times New Roman"/>
          <w:color w:val="000000"/>
          <w:u w:val="single"/>
        </w:rPr>
      </w:pPr>
      <w:r w:rsidRPr="00F2155D">
        <w:rPr>
          <w:rFonts w:ascii="Times New Roman" w:hAnsi="Times New Roman" w:cs="Times New Roman"/>
          <w:color w:val="000000"/>
          <w:u w:val="single"/>
        </w:rPr>
        <w:t>4) Množství odpadů za roky 2019-2022 v tunách</w:t>
      </w:r>
    </w:p>
    <w:p w14:paraId="4AD921EC" w14:textId="77777777" w:rsidR="00A637AE" w:rsidRPr="00F2155D" w:rsidRDefault="00A637AE" w:rsidP="00A637AE">
      <w:pPr>
        <w:spacing w:after="0"/>
        <w:rPr>
          <w:rFonts w:ascii="Times New Roman" w:hAnsi="Times New Roman" w:cs="Times New Roman"/>
          <w:color w:val="000000"/>
        </w:rPr>
      </w:pPr>
    </w:p>
    <w:tbl>
      <w:tblPr>
        <w:tblW w:w="7789" w:type="dxa"/>
        <w:tblCellMar>
          <w:left w:w="0" w:type="dxa"/>
          <w:right w:w="0" w:type="dxa"/>
        </w:tblCellMar>
        <w:tblLook w:val="04A0" w:firstRow="1" w:lastRow="0" w:firstColumn="1" w:lastColumn="0" w:noHBand="0" w:noVBand="1"/>
      </w:tblPr>
      <w:tblGrid>
        <w:gridCol w:w="1582"/>
        <w:gridCol w:w="1529"/>
        <w:gridCol w:w="1559"/>
        <w:gridCol w:w="1559"/>
        <w:gridCol w:w="1560"/>
      </w:tblGrid>
      <w:tr w:rsidR="00A637AE" w:rsidRPr="00F2155D" w14:paraId="0E728901" w14:textId="77777777" w:rsidTr="00502F9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F74177" w14:textId="77777777" w:rsidR="00A637AE" w:rsidRPr="00F2155D" w:rsidRDefault="00A637AE" w:rsidP="00502F90">
            <w:pPr>
              <w:spacing w:after="0" w:line="240" w:lineRule="auto"/>
              <w:rPr>
                <w:rFonts w:ascii="Times New Roman" w:eastAsia="Times New Roman" w:hAnsi="Times New Roman" w:cs="Times New Roman"/>
                <w:lang w:eastAsia="cs-CZ"/>
              </w:rPr>
            </w:pPr>
          </w:p>
        </w:tc>
        <w:tc>
          <w:tcPr>
            <w:tcW w:w="152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9726D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2019</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B9807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2020</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82FD5A"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2021</w:t>
            </w:r>
          </w:p>
        </w:tc>
        <w:tc>
          <w:tcPr>
            <w:tcW w:w="15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E132D"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2022</w:t>
            </w:r>
          </w:p>
        </w:tc>
      </w:tr>
      <w:tr w:rsidR="00A637AE" w:rsidRPr="00F2155D" w14:paraId="5A2D320E"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hideMark/>
          </w:tcPr>
          <w:p w14:paraId="5AFEB52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Směsný odpad </w:t>
            </w:r>
          </w:p>
        </w:tc>
        <w:tc>
          <w:tcPr>
            <w:tcW w:w="152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7879093C"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334,26</w:t>
            </w:r>
          </w:p>
        </w:tc>
        <w:tc>
          <w:tcPr>
            <w:tcW w:w="155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56644219"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363,54</w:t>
            </w:r>
          </w:p>
        </w:tc>
        <w:tc>
          <w:tcPr>
            <w:tcW w:w="155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5F48AA4C"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389,35</w:t>
            </w:r>
          </w:p>
        </w:tc>
        <w:tc>
          <w:tcPr>
            <w:tcW w:w="1560"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01BA1110"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330,7</w:t>
            </w:r>
          </w:p>
        </w:tc>
      </w:tr>
      <w:tr w:rsidR="00A637AE" w:rsidRPr="00F2155D" w14:paraId="62CCA20C"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2E6397A"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Plast </w:t>
            </w:r>
          </w:p>
        </w:tc>
        <w:tc>
          <w:tcPr>
            <w:tcW w:w="152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2537C780"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72,73</w:t>
            </w:r>
          </w:p>
        </w:tc>
        <w:tc>
          <w:tcPr>
            <w:tcW w:w="155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67ED4C98"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77,99</w:t>
            </w:r>
          </w:p>
        </w:tc>
        <w:tc>
          <w:tcPr>
            <w:tcW w:w="155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15A04DE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81,4699</w:t>
            </w:r>
          </w:p>
        </w:tc>
        <w:tc>
          <w:tcPr>
            <w:tcW w:w="156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41D9FD06"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74,27</w:t>
            </w:r>
          </w:p>
        </w:tc>
      </w:tr>
      <w:tr w:rsidR="00A637AE" w:rsidRPr="00F2155D" w14:paraId="3032D6D6"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4285F4"/>
            <w:tcMar>
              <w:top w:w="30" w:type="dxa"/>
              <w:left w:w="45" w:type="dxa"/>
              <w:bottom w:w="30" w:type="dxa"/>
              <w:right w:w="45" w:type="dxa"/>
            </w:tcMar>
            <w:vAlign w:val="bottom"/>
            <w:hideMark/>
          </w:tcPr>
          <w:p w14:paraId="5F71A28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Papír </w:t>
            </w:r>
          </w:p>
        </w:tc>
        <w:tc>
          <w:tcPr>
            <w:tcW w:w="1529" w:type="dxa"/>
            <w:tcBorders>
              <w:top w:val="single" w:sz="6" w:space="0" w:color="CCCCCC"/>
              <w:left w:val="single" w:sz="6" w:space="0" w:color="CCCCCC"/>
              <w:bottom w:val="single" w:sz="6" w:space="0" w:color="000000"/>
              <w:right w:val="single" w:sz="6" w:space="0" w:color="000000"/>
            </w:tcBorders>
            <w:shd w:val="clear" w:color="auto" w:fill="4285F4"/>
            <w:tcMar>
              <w:top w:w="30" w:type="dxa"/>
              <w:left w:w="45" w:type="dxa"/>
              <w:bottom w:w="30" w:type="dxa"/>
              <w:right w:w="45" w:type="dxa"/>
            </w:tcMar>
            <w:vAlign w:val="bottom"/>
          </w:tcPr>
          <w:p w14:paraId="25747AF8"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31,85</w:t>
            </w:r>
          </w:p>
        </w:tc>
        <w:tc>
          <w:tcPr>
            <w:tcW w:w="1559" w:type="dxa"/>
            <w:tcBorders>
              <w:top w:val="single" w:sz="6" w:space="0" w:color="CCCCCC"/>
              <w:left w:val="single" w:sz="6" w:space="0" w:color="CCCCCC"/>
              <w:bottom w:val="single" w:sz="6" w:space="0" w:color="000000"/>
              <w:right w:val="single" w:sz="6" w:space="0" w:color="000000"/>
            </w:tcBorders>
            <w:shd w:val="clear" w:color="auto" w:fill="4285F4"/>
            <w:tcMar>
              <w:top w:w="30" w:type="dxa"/>
              <w:left w:w="45" w:type="dxa"/>
              <w:bottom w:w="30" w:type="dxa"/>
              <w:right w:w="45" w:type="dxa"/>
            </w:tcMar>
            <w:vAlign w:val="bottom"/>
          </w:tcPr>
          <w:p w14:paraId="009E4DD8"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34,86</w:t>
            </w:r>
          </w:p>
        </w:tc>
        <w:tc>
          <w:tcPr>
            <w:tcW w:w="1559" w:type="dxa"/>
            <w:tcBorders>
              <w:top w:val="single" w:sz="6" w:space="0" w:color="CCCCCC"/>
              <w:left w:val="single" w:sz="6" w:space="0" w:color="CCCCCC"/>
              <w:bottom w:val="single" w:sz="6" w:space="0" w:color="000000"/>
              <w:right w:val="single" w:sz="6" w:space="0" w:color="000000"/>
            </w:tcBorders>
            <w:shd w:val="clear" w:color="auto" w:fill="4285F4"/>
            <w:tcMar>
              <w:top w:w="30" w:type="dxa"/>
              <w:left w:w="45" w:type="dxa"/>
              <w:bottom w:w="30" w:type="dxa"/>
              <w:right w:w="45" w:type="dxa"/>
            </w:tcMar>
            <w:vAlign w:val="bottom"/>
          </w:tcPr>
          <w:p w14:paraId="541D1176"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36,92</w:t>
            </w:r>
          </w:p>
        </w:tc>
        <w:tc>
          <w:tcPr>
            <w:tcW w:w="1560" w:type="dxa"/>
            <w:tcBorders>
              <w:top w:val="single" w:sz="6" w:space="0" w:color="CCCCCC"/>
              <w:left w:val="single" w:sz="6" w:space="0" w:color="CCCCCC"/>
              <w:bottom w:val="single" w:sz="6" w:space="0" w:color="000000"/>
              <w:right w:val="single" w:sz="6" w:space="0" w:color="000000"/>
            </w:tcBorders>
            <w:shd w:val="clear" w:color="auto" w:fill="4285F4"/>
            <w:tcMar>
              <w:top w:w="30" w:type="dxa"/>
              <w:left w:w="45" w:type="dxa"/>
              <w:bottom w:w="30" w:type="dxa"/>
              <w:right w:w="45" w:type="dxa"/>
            </w:tcMar>
            <w:vAlign w:val="bottom"/>
          </w:tcPr>
          <w:p w14:paraId="7A33CC55"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42,684</w:t>
            </w:r>
          </w:p>
        </w:tc>
      </w:tr>
      <w:tr w:rsidR="00A637AE" w:rsidRPr="00F2155D" w14:paraId="1111C950"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B7B7"/>
            <w:tcMar>
              <w:top w:w="30" w:type="dxa"/>
              <w:left w:w="45" w:type="dxa"/>
              <w:bottom w:w="30" w:type="dxa"/>
              <w:right w:w="45" w:type="dxa"/>
            </w:tcMar>
            <w:vAlign w:val="bottom"/>
            <w:hideMark/>
          </w:tcPr>
          <w:p w14:paraId="29689042"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Kov </w:t>
            </w:r>
          </w:p>
        </w:tc>
        <w:tc>
          <w:tcPr>
            <w:tcW w:w="1529" w:type="dxa"/>
            <w:tcBorders>
              <w:top w:val="single" w:sz="6" w:space="0" w:color="CCCCCC"/>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tcPr>
          <w:p w14:paraId="2B72F68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4,01</w:t>
            </w:r>
          </w:p>
        </w:tc>
        <w:tc>
          <w:tcPr>
            <w:tcW w:w="1559" w:type="dxa"/>
            <w:tcBorders>
              <w:top w:val="single" w:sz="6" w:space="0" w:color="CCCCCC"/>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tcPr>
          <w:p w14:paraId="7467E4D1"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2,79</w:t>
            </w:r>
          </w:p>
        </w:tc>
        <w:tc>
          <w:tcPr>
            <w:tcW w:w="1559" w:type="dxa"/>
            <w:tcBorders>
              <w:top w:val="single" w:sz="6" w:space="0" w:color="CCCCCC"/>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tcPr>
          <w:p w14:paraId="50C20EF9"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1,69</w:t>
            </w:r>
          </w:p>
        </w:tc>
        <w:tc>
          <w:tcPr>
            <w:tcW w:w="1560" w:type="dxa"/>
            <w:tcBorders>
              <w:top w:val="single" w:sz="6" w:space="0" w:color="CCCCCC"/>
              <w:left w:val="single" w:sz="6" w:space="0" w:color="CCCCCC"/>
              <w:bottom w:val="single" w:sz="6" w:space="0" w:color="000000"/>
              <w:right w:val="single" w:sz="6" w:space="0" w:color="000000"/>
            </w:tcBorders>
            <w:shd w:val="clear" w:color="auto" w:fill="B7B7B7"/>
            <w:tcMar>
              <w:top w:w="30" w:type="dxa"/>
              <w:left w:w="45" w:type="dxa"/>
              <w:bottom w:w="30" w:type="dxa"/>
              <w:right w:w="45" w:type="dxa"/>
            </w:tcMar>
            <w:vAlign w:val="bottom"/>
          </w:tcPr>
          <w:p w14:paraId="3FC559C6"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1,45</w:t>
            </w:r>
          </w:p>
        </w:tc>
      </w:tr>
      <w:tr w:rsidR="00A637AE" w:rsidRPr="00F2155D" w14:paraId="76C7917E"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3C47D"/>
            <w:tcMar>
              <w:top w:w="30" w:type="dxa"/>
              <w:left w:w="45" w:type="dxa"/>
              <w:bottom w:w="30" w:type="dxa"/>
              <w:right w:w="45" w:type="dxa"/>
            </w:tcMar>
            <w:vAlign w:val="bottom"/>
            <w:hideMark/>
          </w:tcPr>
          <w:p w14:paraId="7264C75E"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Sklo </w:t>
            </w:r>
          </w:p>
        </w:tc>
        <w:tc>
          <w:tcPr>
            <w:tcW w:w="1529" w:type="dxa"/>
            <w:tcBorders>
              <w:top w:val="single" w:sz="6" w:space="0" w:color="CCCCCC"/>
              <w:left w:val="single" w:sz="6" w:space="0" w:color="CCCCCC"/>
              <w:bottom w:val="single" w:sz="6" w:space="0" w:color="000000"/>
              <w:right w:val="single" w:sz="6" w:space="0" w:color="000000"/>
            </w:tcBorders>
            <w:shd w:val="clear" w:color="auto" w:fill="93C47D"/>
            <w:tcMar>
              <w:top w:w="30" w:type="dxa"/>
              <w:left w:w="45" w:type="dxa"/>
              <w:bottom w:w="30" w:type="dxa"/>
              <w:right w:w="45" w:type="dxa"/>
            </w:tcMar>
            <w:vAlign w:val="bottom"/>
          </w:tcPr>
          <w:p w14:paraId="1F416207"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47,7</w:t>
            </w:r>
          </w:p>
        </w:tc>
        <w:tc>
          <w:tcPr>
            <w:tcW w:w="1559" w:type="dxa"/>
            <w:tcBorders>
              <w:top w:val="single" w:sz="6" w:space="0" w:color="CCCCCC"/>
              <w:left w:val="single" w:sz="6" w:space="0" w:color="CCCCCC"/>
              <w:bottom w:val="single" w:sz="6" w:space="0" w:color="000000"/>
              <w:right w:val="single" w:sz="6" w:space="0" w:color="000000"/>
            </w:tcBorders>
            <w:shd w:val="clear" w:color="auto" w:fill="93C47D"/>
            <w:tcMar>
              <w:top w:w="30" w:type="dxa"/>
              <w:left w:w="45" w:type="dxa"/>
              <w:bottom w:w="30" w:type="dxa"/>
              <w:right w:w="45" w:type="dxa"/>
            </w:tcMar>
            <w:vAlign w:val="bottom"/>
          </w:tcPr>
          <w:p w14:paraId="2A5A6A3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47,82</w:t>
            </w:r>
          </w:p>
        </w:tc>
        <w:tc>
          <w:tcPr>
            <w:tcW w:w="1559" w:type="dxa"/>
            <w:tcBorders>
              <w:top w:val="single" w:sz="6" w:space="0" w:color="CCCCCC"/>
              <w:left w:val="single" w:sz="6" w:space="0" w:color="CCCCCC"/>
              <w:bottom w:val="single" w:sz="6" w:space="0" w:color="000000"/>
              <w:right w:val="single" w:sz="6" w:space="0" w:color="000000"/>
            </w:tcBorders>
            <w:shd w:val="clear" w:color="auto" w:fill="93C47D"/>
            <w:tcMar>
              <w:top w:w="30" w:type="dxa"/>
              <w:left w:w="45" w:type="dxa"/>
              <w:bottom w:w="30" w:type="dxa"/>
              <w:right w:w="45" w:type="dxa"/>
            </w:tcMar>
            <w:vAlign w:val="bottom"/>
          </w:tcPr>
          <w:p w14:paraId="69A9278D"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49,12</w:t>
            </w:r>
          </w:p>
        </w:tc>
        <w:tc>
          <w:tcPr>
            <w:tcW w:w="1560" w:type="dxa"/>
            <w:tcBorders>
              <w:top w:val="single" w:sz="6" w:space="0" w:color="CCCCCC"/>
              <w:left w:val="single" w:sz="6" w:space="0" w:color="CCCCCC"/>
              <w:bottom w:val="single" w:sz="6" w:space="0" w:color="000000"/>
              <w:right w:val="single" w:sz="6" w:space="0" w:color="000000"/>
            </w:tcBorders>
            <w:shd w:val="clear" w:color="auto" w:fill="93C47D"/>
            <w:tcMar>
              <w:top w:w="30" w:type="dxa"/>
              <w:left w:w="45" w:type="dxa"/>
              <w:bottom w:w="30" w:type="dxa"/>
              <w:right w:w="45" w:type="dxa"/>
            </w:tcMar>
            <w:vAlign w:val="bottom"/>
          </w:tcPr>
          <w:p w14:paraId="195F442F"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49,51</w:t>
            </w:r>
          </w:p>
        </w:tc>
      </w:tr>
      <w:tr w:rsidR="00A637AE" w:rsidRPr="00F2155D" w14:paraId="254872F5"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bottom"/>
            <w:hideMark/>
          </w:tcPr>
          <w:p w14:paraId="6125877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Nebezpečný </w:t>
            </w:r>
          </w:p>
        </w:tc>
        <w:tc>
          <w:tcPr>
            <w:tcW w:w="1529" w:type="dxa"/>
            <w:tcBorders>
              <w:top w:val="single" w:sz="6" w:space="0" w:color="CCCCCC"/>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bottom"/>
          </w:tcPr>
          <w:p w14:paraId="77CB6B7F"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2,41</w:t>
            </w:r>
          </w:p>
        </w:tc>
        <w:tc>
          <w:tcPr>
            <w:tcW w:w="1559" w:type="dxa"/>
            <w:tcBorders>
              <w:top w:val="single" w:sz="6" w:space="0" w:color="CCCCCC"/>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bottom"/>
          </w:tcPr>
          <w:p w14:paraId="51E7E3F7"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1,98</w:t>
            </w:r>
          </w:p>
        </w:tc>
        <w:tc>
          <w:tcPr>
            <w:tcW w:w="1559" w:type="dxa"/>
            <w:tcBorders>
              <w:top w:val="single" w:sz="6" w:space="0" w:color="CCCCCC"/>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bottom"/>
          </w:tcPr>
          <w:p w14:paraId="48216C3F"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2,34</w:t>
            </w:r>
          </w:p>
        </w:tc>
        <w:tc>
          <w:tcPr>
            <w:tcW w:w="1560" w:type="dxa"/>
            <w:tcBorders>
              <w:top w:val="single" w:sz="6" w:space="0" w:color="CCCCCC"/>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bottom"/>
          </w:tcPr>
          <w:p w14:paraId="45428DD8"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1,51</w:t>
            </w:r>
          </w:p>
        </w:tc>
      </w:tr>
      <w:tr w:rsidR="00A637AE" w:rsidRPr="00F2155D" w14:paraId="11C9CC5D"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69138"/>
            <w:tcMar>
              <w:top w:w="30" w:type="dxa"/>
              <w:left w:w="45" w:type="dxa"/>
              <w:bottom w:w="30" w:type="dxa"/>
              <w:right w:w="45" w:type="dxa"/>
            </w:tcMar>
            <w:vAlign w:val="bottom"/>
            <w:hideMark/>
          </w:tcPr>
          <w:p w14:paraId="676EF286"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Suť </w:t>
            </w:r>
          </w:p>
        </w:tc>
        <w:tc>
          <w:tcPr>
            <w:tcW w:w="1529" w:type="dxa"/>
            <w:tcBorders>
              <w:top w:val="single" w:sz="6" w:space="0" w:color="CCCCCC"/>
              <w:left w:val="single" w:sz="6" w:space="0" w:color="CCCCCC"/>
              <w:bottom w:val="single" w:sz="6" w:space="0" w:color="000000"/>
              <w:right w:val="single" w:sz="6" w:space="0" w:color="000000"/>
            </w:tcBorders>
            <w:shd w:val="clear" w:color="auto" w:fill="E69138"/>
            <w:tcMar>
              <w:top w:w="30" w:type="dxa"/>
              <w:left w:w="45" w:type="dxa"/>
              <w:bottom w:w="30" w:type="dxa"/>
              <w:right w:w="45" w:type="dxa"/>
            </w:tcMar>
            <w:vAlign w:val="bottom"/>
          </w:tcPr>
          <w:p w14:paraId="265AF07F"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32,38</w:t>
            </w:r>
          </w:p>
        </w:tc>
        <w:tc>
          <w:tcPr>
            <w:tcW w:w="1559" w:type="dxa"/>
            <w:tcBorders>
              <w:top w:val="single" w:sz="6" w:space="0" w:color="CCCCCC"/>
              <w:left w:val="single" w:sz="6" w:space="0" w:color="CCCCCC"/>
              <w:bottom w:val="single" w:sz="6" w:space="0" w:color="000000"/>
              <w:right w:val="single" w:sz="6" w:space="0" w:color="000000"/>
            </w:tcBorders>
            <w:shd w:val="clear" w:color="auto" w:fill="E69138"/>
            <w:tcMar>
              <w:top w:w="30" w:type="dxa"/>
              <w:left w:w="45" w:type="dxa"/>
              <w:bottom w:w="30" w:type="dxa"/>
              <w:right w:w="45" w:type="dxa"/>
            </w:tcMar>
            <w:vAlign w:val="bottom"/>
          </w:tcPr>
          <w:p w14:paraId="09C90E9C"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47,96</w:t>
            </w:r>
          </w:p>
        </w:tc>
        <w:tc>
          <w:tcPr>
            <w:tcW w:w="1559" w:type="dxa"/>
            <w:tcBorders>
              <w:top w:val="single" w:sz="6" w:space="0" w:color="CCCCCC"/>
              <w:left w:val="single" w:sz="6" w:space="0" w:color="CCCCCC"/>
              <w:bottom w:val="single" w:sz="6" w:space="0" w:color="000000"/>
              <w:right w:val="single" w:sz="6" w:space="0" w:color="000000"/>
            </w:tcBorders>
            <w:shd w:val="clear" w:color="auto" w:fill="E69138"/>
            <w:tcMar>
              <w:top w:w="30" w:type="dxa"/>
              <w:left w:w="45" w:type="dxa"/>
              <w:bottom w:w="30" w:type="dxa"/>
              <w:right w:w="45" w:type="dxa"/>
            </w:tcMar>
            <w:vAlign w:val="bottom"/>
          </w:tcPr>
          <w:p w14:paraId="01421B51"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54,74</w:t>
            </w:r>
          </w:p>
        </w:tc>
        <w:tc>
          <w:tcPr>
            <w:tcW w:w="1560" w:type="dxa"/>
            <w:tcBorders>
              <w:top w:val="single" w:sz="6" w:space="0" w:color="CCCCCC"/>
              <w:left w:val="single" w:sz="6" w:space="0" w:color="CCCCCC"/>
              <w:bottom w:val="single" w:sz="6" w:space="0" w:color="000000"/>
              <w:right w:val="single" w:sz="6" w:space="0" w:color="000000"/>
            </w:tcBorders>
            <w:shd w:val="clear" w:color="auto" w:fill="E69138"/>
            <w:tcMar>
              <w:top w:w="30" w:type="dxa"/>
              <w:left w:w="45" w:type="dxa"/>
              <w:bottom w:w="30" w:type="dxa"/>
              <w:right w:w="45" w:type="dxa"/>
            </w:tcMar>
            <w:vAlign w:val="bottom"/>
          </w:tcPr>
          <w:p w14:paraId="601E9F15"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62,44</w:t>
            </w:r>
          </w:p>
        </w:tc>
      </w:tr>
      <w:tr w:rsidR="00A637AE" w:rsidRPr="00F2155D" w14:paraId="3AB1970B"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5B1C1AA"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 xml:space="preserve">Velkoobjemový </w:t>
            </w:r>
          </w:p>
        </w:tc>
        <w:tc>
          <w:tcPr>
            <w:tcW w:w="15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F5F3AE0"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187,82</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53626BF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205,82</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1D55667"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226,11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7060553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157,72</w:t>
            </w:r>
          </w:p>
        </w:tc>
      </w:tr>
      <w:tr w:rsidR="00A637AE" w:rsidRPr="00F2155D" w14:paraId="3B005443"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9FC41CF"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Pneumatiky</w:t>
            </w:r>
          </w:p>
        </w:tc>
        <w:tc>
          <w:tcPr>
            <w:tcW w:w="152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6D75809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8,6</w:t>
            </w:r>
          </w:p>
        </w:tc>
        <w:tc>
          <w:tcPr>
            <w:tcW w:w="155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4FD3B56A"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19,69</w:t>
            </w:r>
          </w:p>
        </w:tc>
        <w:tc>
          <w:tcPr>
            <w:tcW w:w="155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07E38E22"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6,15</w:t>
            </w:r>
          </w:p>
        </w:tc>
        <w:tc>
          <w:tcPr>
            <w:tcW w:w="1560"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FD07409"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6,3</w:t>
            </w:r>
          </w:p>
        </w:tc>
      </w:tr>
      <w:tr w:rsidR="00A637AE" w:rsidRPr="00F2155D" w14:paraId="0219C41D"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2D050"/>
            <w:tcMar>
              <w:top w:w="30" w:type="dxa"/>
              <w:left w:w="45" w:type="dxa"/>
              <w:bottom w:w="30" w:type="dxa"/>
              <w:right w:w="45" w:type="dxa"/>
            </w:tcMar>
            <w:vAlign w:val="bottom"/>
          </w:tcPr>
          <w:p w14:paraId="16AD63C3"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Textil</w:t>
            </w:r>
          </w:p>
        </w:tc>
        <w:tc>
          <w:tcPr>
            <w:tcW w:w="1529" w:type="dxa"/>
            <w:tcBorders>
              <w:top w:val="single" w:sz="6" w:space="0" w:color="CCCCCC"/>
              <w:left w:val="single" w:sz="6" w:space="0" w:color="CCCCCC"/>
              <w:bottom w:val="single" w:sz="6" w:space="0" w:color="000000"/>
              <w:right w:val="single" w:sz="6" w:space="0" w:color="000000"/>
            </w:tcBorders>
            <w:shd w:val="clear" w:color="auto" w:fill="92D050"/>
            <w:tcMar>
              <w:top w:w="30" w:type="dxa"/>
              <w:left w:w="45" w:type="dxa"/>
              <w:bottom w:w="30" w:type="dxa"/>
              <w:right w:w="45" w:type="dxa"/>
            </w:tcMar>
            <w:vAlign w:val="bottom"/>
          </w:tcPr>
          <w:p w14:paraId="14D8E60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8,506</w:t>
            </w:r>
          </w:p>
        </w:tc>
        <w:tc>
          <w:tcPr>
            <w:tcW w:w="1559" w:type="dxa"/>
            <w:tcBorders>
              <w:top w:val="single" w:sz="6" w:space="0" w:color="CCCCCC"/>
              <w:left w:val="single" w:sz="6" w:space="0" w:color="CCCCCC"/>
              <w:bottom w:val="single" w:sz="6" w:space="0" w:color="000000"/>
              <w:right w:val="single" w:sz="6" w:space="0" w:color="000000"/>
            </w:tcBorders>
            <w:shd w:val="clear" w:color="auto" w:fill="92D050"/>
            <w:tcMar>
              <w:top w:w="30" w:type="dxa"/>
              <w:left w:w="45" w:type="dxa"/>
              <w:bottom w:w="30" w:type="dxa"/>
              <w:right w:w="45" w:type="dxa"/>
            </w:tcMar>
            <w:vAlign w:val="bottom"/>
          </w:tcPr>
          <w:p w14:paraId="5FFCE771"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5,689</w:t>
            </w:r>
          </w:p>
        </w:tc>
        <w:tc>
          <w:tcPr>
            <w:tcW w:w="1559" w:type="dxa"/>
            <w:tcBorders>
              <w:top w:val="single" w:sz="6" w:space="0" w:color="CCCCCC"/>
              <w:left w:val="single" w:sz="6" w:space="0" w:color="CCCCCC"/>
              <w:bottom w:val="single" w:sz="6" w:space="0" w:color="000000"/>
              <w:right w:val="single" w:sz="6" w:space="0" w:color="000000"/>
            </w:tcBorders>
            <w:shd w:val="clear" w:color="auto" w:fill="92D050"/>
            <w:tcMar>
              <w:top w:w="30" w:type="dxa"/>
              <w:left w:w="45" w:type="dxa"/>
              <w:bottom w:w="30" w:type="dxa"/>
              <w:right w:w="45" w:type="dxa"/>
            </w:tcMar>
            <w:vAlign w:val="bottom"/>
          </w:tcPr>
          <w:p w14:paraId="0447B88A"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4,442</w:t>
            </w:r>
          </w:p>
        </w:tc>
        <w:tc>
          <w:tcPr>
            <w:tcW w:w="1560" w:type="dxa"/>
            <w:tcBorders>
              <w:top w:val="single" w:sz="6" w:space="0" w:color="CCCCCC"/>
              <w:left w:val="single" w:sz="6" w:space="0" w:color="CCCCCC"/>
              <w:bottom w:val="single" w:sz="6" w:space="0" w:color="000000"/>
              <w:right w:val="single" w:sz="6" w:space="0" w:color="000000"/>
            </w:tcBorders>
            <w:shd w:val="clear" w:color="auto" w:fill="92D050"/>
            <w:tcMar>
              <w:top w:w="30" w:type="dxa"/>
              <w:left w:w="45" w:type="dxa"/>
              <w:bottom w:w="30" w:type="dxa"/>
              <w:right w:w="45" w:type="dxa"/>
            </w:tcMar>
            <w:vAlign w:val="bottom"/>
          </w:tcPr>
          <w:p w14:paraId="4E7F3B7B"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7,335</w:t>
            </w:r>
          </w:p>
        </w:tc>
      </w:tr>
      <w:tr w:rsidR="00A637AE" w:rsidRPr="00F2155D" w14:paraId="20331C88"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1A983" w:themeFill="accent2" w:themeFillTint="99"/>
            <w:tcMar>
              <w:top w:w="30" w:type="dxa"/>
              <w:left w:w="45" w:type="dxa"/>
              <w:bottom w:w="30" w:type="dxa"/>
              <w:right w:w="45" w:type="dxa"/>
            </w:tcMar>
            <w:vAlign w:val="bottom"/>
          </w:tcPr>
          <w:p w14:paraId="31854BA0"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Rostlinný BIO</w:t>
            </w:r>
          </w:p>
        </w:tc>
        <w:tc>
          <w:tcPr>
            <w:tcW w:w="1529" w:type="dxa"/>
            <w:tcBorders>
              <w:top w:val="single" w:sz="6" w:space="0" w:color="CCCCCC"/>
              <w:left w:val="single" w:sz="6" w:space="0" w:color="CCCCCC"/>
              <w:bottom w:val="single" w:sz="6" w:space="0" w:color="000000"/>
              <w:right w:val="single" w:sz="6" w:space="0" w:color="000000"/>
            </w:tcBorders>
            <w:shd w:val="clear" w:color="auto" w:fill="F1A983" w:themeFill="accent2" w:themeFillTint="99"/>
            <w:tcMar>
              <w:top w:w="30" w:type="dxa"/>
              <w:left w:w="45" w:type="dxa"/>
              <w:bottom w:w="30" w:type="dxa"/>
              <w:right w:w="45" w:type="dxa"/>
            </w:tcMar>
            <w:vAlign w:val="bottom"/>
          </w:tcPr>
          <w:p w14:paraId="61B310B7"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p>
        </w:tc>
        <w:tc>
          <w:tcPr>
            <w:tcW w:w="1559" w:type="dxa"/>
            <w:tcBorders>
              <w:top w:val="single" w:sz="6" w:space="0" w:color="CCCCCC"/>
              <w:left w:val="single" w:sz="6" w:space="0" w:color="CCCCCC"/>
              <w:bottom w:val="single" w:sz="6" w:space="0" w:color="000000"/>
              <w:right w:val="single" w:sz="6" w:space="0" w:color="000000"/>
            </w:tcBorders>
            <w:shd w:val="clear" w:color="auto" w:fill="F1A983" w:themeFill="accent2" w:themeFillTint="99"/>
            <w:tcMar>
              <w:top w:w="30" w:type="dxa"/>
              <w:left w:w="45" w:type="dxa"/>
              <w:bottom w:w="30" w:type="dxa"/>
              <w:right w:w="45" w:type="dxa"/>
            </w:tcMar>
            <w:vAlign w:val="bottom"/>
          </w:tcPr>
          <w:p w14:paraId="2D953A49"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p>
        </w:tc>
        <w:tc>
          <w:tcPr>
            <w:tcW w:w="1559" w:type="dxa"/>
            <w:tcBorders>
              <w:top w:val="single" w:sz="6" w:space="0" w:color="CCCCCC"/>
              <w:left w:val="single" w:sz="6" w:space="0" w:color="CCCCCC"/>
              <w:bottom w:val="single" w:sz="6" w:space="0" w:color="000000"/>
              <w:right w:val="single" w:sz="6" w:space="0" w:color="000000"/>
            </w:tcBorders>
            <w:shd w:val="clear" w:color="auto" w:fill="F1A983" w:themeFill="accent2" w:themeFillTint="99"/>
            <w:tcMar>
              <w:top w:w="30" w:type="dxa"/>
              <w:left w:w="45" w:type="dxa"/>
              <w:bottom w:w="30" w:type="dxa"/>
              <w:right w:w="45" w:type="dxa"/>
            </w:tcMar>
            <w:vAlign w:val="bottom"/>
          </w:tcPr>
          <w:p w14:paraId="50E9DB62"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p>
        </w:tc>
        <w:tc>
          <w:tcPr>
            <w:tcW w:w="1560" w:type="dxa"/>
            <w:tcBorders>
              <w:top w:val="single" w:sz="6" w:space="0" w:color="CCCCCC"/>
              <w:left w:val="single" w:sz="6" w:space="0" w:color="CCCCCC"/>
              <w:bottom w:val="single" w:sz="6" w:space="0" w:color="000000"/>
              <w:right w:val="single" w:sz="6" w:space="0" w:color="000000"/>
            </w:tcBorders>
            <w:shd w:val="clear" w:color="auto" w:fill="F1A983" w:themeFill="accent2" w:themeFillTint="99"/>
            <w:tcMar>
              <w:top w:w="30" w:type="dxa"/>
              <w:left w:w="45" w:type="dxa"/>
              <w:bottom w:w="30" w:type="dxa"/>
              <w:right w:w="45" w:type="dxa"/>
            </w:tcMar>
            <w:vAlign w:val="bottom"/>
          </w:tcPr>
          <w:p w14:paraId="369228C7"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116,41</w:t>
            </w:r>
          </w:p>
        </w:tc>
      </w:tr>
      <w:tr w:rsidR="00A637AE" w:rsidRPr="00F2155D" w14:paraId="26504EEA" w14:textId="77777777" w:rsidTr="00502F9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0E0E3"/>
            <w:tcMar>
              <w:top w:w="30" w:type="dxa"/>
              <w:left w:w="45" w:type="dxa"/>
              <w:bottom w:w="30" w:type="dxa"/>
              <w:right w:w="45" w:type="dxa"/>
            </w:tcMar>
            <w:vAlign w:val="bottom"/>
            <w:hideMark/>
          </w:tcPr>
          <w:p w14:paraId="63DA56C2"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Oleje, tuky</w:t>
            </w:r>
          </w:p>
        </w:tc>
        <w:tc>
          <w:tcPr>
            <w:tcW w:w="1529" w:type="dxa"/>
            <w:tcBorders>
              <w:top w:val="single" w:sz="6" w:space="0" w:color="CCCCCC"/>
              <w:left w:val="single" w:sz="6" w:space="0" w:color="CCCCCC"/>
              <w:bottom w:val="single" w:sz="6" w:space="0" w:color="000000"/>
              <w:right w:val="single" w:sz="6" w:space="0" w:color="000000"/>
            </w:tcBorders>
            <w:shd w:val="clear" w:color="auto" w:fill="D0E0E3"/>
            <w:tcMar>
              <w:top w:w="30" w:type="dxa"/>
              <w:left w:w="45" w:type="dxa"/>
              <w:bottom w:w="30" w:type="dxa"/>
              <w:right w:w="45" w:type="dxa"/>
            </w:tcMar>
            <w:vAlign w:val="bottom"/>
          </w:tcPr>
          <w:p w14:paraId="4A3F4A03"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1,42</w:t>
            </w:r>
          </w:p>
        </w:tc>
        <w:tc>
          <w:tcPr>
            <w:tcW w:w="1559" w:type="dxa"/>
            <w:tcBorders>
              <w:top w:val="single" w:sz="6" w:space="0" w:color="CCCCCC"/>
              <w:left w:val="single" w:sz="6" w:space="0" w:color="CCCCCC"/>
              <w:bottom w:val="single" w:sz="6" w:space="0" w:color="000000"/>
              <w:right w:val="single" w:sz="6" w:space="0" w:color="000000"/>
            </w:tcBorders>
            <w:shd w:val="clear" w:color="auto" w:fill="D0E0E3"/>
            <w:tcMar>
              <w:top w:w="30" w:type="dxa"/>
              <w:left w:w="45" w:type="dxa"/>
              <w:bottom w:w="30" w:type="dxa"/>
              <w:right w:w="45" w:type="dxa"/>
            </w:tcMar>
            <w:vAlign w:val="bottom"/>
          </w:tcPr>
          <w:p w14:paraId="7907206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0,95</w:t>
            </w:r>
          </w:p>
        </w:tc>
        <w:tc>
          <w:tcPr>
            <w:tcW w:w="1559" w:type="dxa"/>
            <w:tcBorders>
              <w:top w:val="single" w:sz="6" w:space="0" w:color="CCCCCC"/>
              <w:left w:val="single" w:sz="6" w:space="0" w:color="CCCCCC"/>
              <w:bottom w:val="single" w:sz="6" w:space="0" w:color="000000"/>
              <w:right w:val="single" w:sz="6" w:space="0" w:color="000000"/>
            </w:tcBorders>
            <w:shd w:val="clear" w:color="auto" w:fill="D0E0E3"/>
            <w:tcMar>
              <w:top w:w="30" w:type="dxa"/>
              <w:left w:w="45" w:type="dxa"/>
              <w:bottom w:w="30" w:type="dxa"/>
              <w:right w:w="45" w:type="dxa"/>
            </w:tcMar>
            <w:vAlign w:val="bottom"/>
          </w:tcPr>
          <w:p w14:paraId="21728B39"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0,64</w:t>
            </w:r>
          </w:p>
        </w:tc>
        <w:tc>
          <w:tcPr>
            <w:tcW w:w="1560" w:type="dxa"/>
            <w:tcBorders>
              <w:top w:val="single" w:sz="6" w:space="0" w:color="CCCCCC"/>
              <w:left w:val="single" w:sz="6" w:space="0" w:color="CCCCCC"/>
              <w:bottom w:val="single" w:sz="6" w:space="0" w:color="000000"/>
              <w:right w:val="single" w:sz="6" w:space="0" w:color="000000"/>
            </w:tcBorders>
            <w:shd w:val="clear" w:color="auto" w:fill="D0E0E3"/>
            <w:tcMar>
              <w:top w:w="30" w:type="dxa"/>
              <w:left w:w="45" w:type="dxa"/>
              <w:bottom w:w="30" w:type="dxa"/>
              <w:right w:w="45" w:type="dxa"/>
            </w:tcMar>
            <w:vAlign w:val="bottom"/>
          </w:tcPr>
          <w:p w14:paraId="4253DCF4" w14:textId="77777777" w:rsidR="00A637AE" w:rsidRPr="00F2155D" w:rsidRDefault="00A637AE" w:rsidP="00502F90">
            <w:pPr>
              <w:spacing w:after="0" w:line="240" w:lineRule="auto"/>
              <w:jc w:val="center"/>
              <w:rPr>
                <w:rFonts w:ascii="Times New Roman" w:eastAsia="Times New Roman" w:hAnsi="Times New Roman" w:cs="Times New Roman"/>
                <w:lang w:eastAsia="cs-CZ"/>
              </w:rPr>
            </w:pPr>
            <w:r w:rsidRPr="00F2155D">
              <w:rPr>
                <w:rFonts w:ascii="Times New Roman" w:eastAsia="Times New Roman" w:hAnsi="Times New Roman" w:cs="Times New Roman"/>
                <w:lang w:eastAsia="cs-CZ"/>
              </w:rPr>
              <w:t>0,71</w:t>
            </w:r>
          </w:p>
        </w:tc>
      </w:tr>
    </w:tbl>
    <w:p w14:paraId="71F02B6A" w14:textId="77777777" w:rsidR="00A637AE" w:rsidRPr="00F2155D" w:rsidRDefault="00A637AE" w:rsidP="00A637AE">
      <w:pPr>
        <w:spacing w:after="0"/>
        <w:rPr>
          <w:rFonts w:ascii="Times New Roman" w:hAnsi="Times New Roman" w:cs="Times New Roman"/>
          <w:color w:val="000000"/>
        </w:rPr>
      </w:pPr>
    </w:p>
    <w:p w14:paraId="25BE7B7E" w14:textId="77777777" w:rsidR="00A637AE" w:rsidRPr="00F2155D" w:rsidRDefault="00A637AE" w:rsidP="00A637AE">
      <w:pPr>
        <w:spacing w:after="0"/>
        <w:rPr>
          <w:rFonts w:ascii="Times New Roman" w:hAnsi="Times New Roman" w:cs="Times New Roman"/>
          <w:color w:val="000000"/>
        </w:rPr>
      </w:pPr>
    </w:p>
    <w:p w14:paraId="17945F87" w14:textId="77777777" w:rsidR="00A637AE" w:rsidRPr="00F2155D" w:rsidRDefault="00A637AE" w:rsidP="00A637AE">
      <w:pPr>
        <w:spacing w:after="0"/>
        <w:rPr>
          <w:rFonts w:ascii="Times New Roman" w:hAnsi="Times New Roman" w:cs="Times New Roman"/>
          <w:color w:val="000000"/>
          <w:u w:val="single"/>
        </w:rPr>
      </w:pPr>
      <w:r w:rsidRPr="00F2155D">
        <w:rPr>
          <w:rFonts w:ascii="Times New Roman" w:hAnsi="Times New Roman" w:cs="Times New Roman"/>
          <w:color w:val="000000"/>
          <w:u w:val="single"/>
        </w:rPr>
        <w:t>5) Náklady na provoz obecního systému.</w:t>
      </w:r>
    </w:p>
    <w:p w14:paraId="32216DD9" w14:textId="77777777" w:rsidR="00A637AE" w:rsidRPr="00F2155D" w:rsidRDefault="00A637AE" w:rsidP="00A637AE">
      <w:pPr>
        <w:spacing w:after="0"/>
        <w:rPr>
          <w:rFonts w:ascii="Times New Roman" w:hAnsi="Times New Roman" w:cs="Times New Roman"/>
          <w:color w:val="000000"/>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1455"/>
        <w:gridCol w:w="1815"/>
        <w:gridCol w:w="1860"/>
        <w:gridCol w:w="1635"/>
      </w:tblGrid>
      <w:tr w:rsidR="00A637AE" w:rsidRPr="00F2155D" w14:paraId="7A366F15" w14:textId="77777777" w:rsidTr="00502F90">
        <w:trPr>
          <w:trHeight w:val="488"/>
        </w:trPr>
        <w:tc>
          <w:tcPr>
            <w:tcW w:w="2190" w:type="dxa"/>
          </w:tcPr>
          <w:p w14:paraId="477FF353" w14:textId="77777777" w:rsidR="00A637AE" w:rsidRPr="00F2155D" w:rsidRDefault="00A637AE" w:rsidP="00502F90">
            <w:pPr>
              <w:spacing w:after="0"/>
              <w:rPr>
                <w:rFonts w:ascii="Times New Roman" w:hAnsi="Times New Roman" w:cs="Times New Roman"/>
                <w:color w:val="000000"/>
              </w:rPr>
            </w:pPr>
          </w:p>
        </w:tc>
        <w:tc>
          <w:tcPr>
            <w:tcW w:w="1455" w:type="dxa"/>
            <w:shd w:val="clear" w:color="auto" w:fill="60CAF3" w:themeFill="accent4" w:themeFillTint="99"/>
          </w:tcPr>
          <w:p w14:paraId="12A69AA9"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2019</w:t>
            </w:r>
          </w:p>
        </w:tc>
        <w:tc>
          <w:tcPr>
            <w:tcW w:w="1815" w:type="dxa"/>
            <w:shd w:val="clear" w:color="auto" w:fill="60CAF3" w:themeFill="accent4" w:themeFillTint="99"/>
          </w:tcPr>
          <w:p w14:paraId="1C880144"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2020</w:t>
            </w:r>
          </w:p>
        </w:tc>
        <w:tc>
          <w:tcPr>
            <w:tcW w:w="1860" w:type="dxa"/>
            <w:shd w:val="clear" w:color="auto" w:fill="60CAF3" w:themeFill="accent4" w:themeFillTint="99"/>
          </w:tcPr>
          <w:p w14:paraId="28A54633"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2021</w:t>
            </w:r>
          </w:p>
        </w:tc>
        <w:tc>
          <w:tcPr>
            <w:tcW w:w="1635" w:type="dxa"/>
            <w:shd w:val="clear" w:color="auto" w:fill="60CAF3" w:themeFill="accent4" w:themeFillTint="99"/>
          </w:tcPr>
          <w:p w14:paraId="6782EAB7"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2022</w:t>
            </w:r>
          </w:p>
          <w:p w14:paraId="247366AB" w14:textId="77777777" w:rsidR="00A637AE" w:rsidRPr="00F2155D" w:rsidRDefault="00A637AE" w:rsidP="00502F90">
            <w:pPr>
              <w:spacing w:after="0"/>
              <w:rPr>
                <w:rFonts w:ascii="Times New Roman" w:hAnsi="Times New Roman" w:cs="Times New Roman"/>
                <w:color w:val="000000"/>
              </w:rPr>
            </w:pPr>
          </w:p>
        </w:tc>
      </w:tr>
      <w:tr w:rsidR="00A637AE" w:rsidRPr="00F2155D" w14:paraId="02C4AABB" w14:textId="77777777" w:rsidTr="00502F90">
        <w:trPr>
          <w:trHeight w:val="585"/>
        </w:trPr>
        <w:tc>
          <w:tcPr>
            <w:tcW w:w="2190" w:type="dxa"/>
            <w:shd w:val="clear" w:color="auto" w:fill="0F9ED5" w:themeFill="accent4"/>
          </w:tcPr>
          <w:p w14:paraId="155064FA"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Příjmy celkem</w:t>
            </w:r>
          </w:p>
        </w:tc>
        <w:tc>
          <w:tcPr>
            <w:tcW w:w="1455" w:type="dxa"/>
          </w:tcPr>
          <w:p w14:paraId="483E9779"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1.692.271,-</w:t>
            </w:r>
            <w:proofErr w:type="gramEnd"/>
          </w:p>
        </w:tc>
        <w:tc>
          <w:tcPr>
            <w:tcW w:w="1815" w:type="dxa"/>
          </w:tcPr>
          <w:p w14:paraId="2445CFD4"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1.754.944,-</w:t>
            </w:r>
            <w:proofErr w:type="gramEnd"/>
          </w:p>
        </w:tc>
        <w:tc>
          <w:tcPr>
            <w:tcW w:w="1860" w:type="dxa"/>
          </w:tcPr>
          <w:p w14:paraId="2542CDCF"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1.868.372,-</w:t>
            </w:r>
            <w:proofErr w:type="gramEnd"/>
          </w:p>
        </w:tc>
        <w:tc>
          <w:tcPr>
            <w:tcW w:w="1635" w:type="dxa"/>
          </w:tcPr>
          <w:p w14:paraId="0EDE5738"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2.180.755,-</w:t>
            </w:r>
            <w:proofErr w:type="gramEnd"/>
          </w:p>
        </w:tc>
      </w:tr>
      <w:tr w:rsidR="00A637AE" w:rsidRPr="00F2155D" w14:paraId="1A86F939" w14:textId="77777777" w:rsidTr="00502F90">
        <w:trPr>
          <w:trHeight w:val="660"/>
        </w:trPr>
        <w:tc>
          <w:tcPr>
            <w:tcW w:w="2190" w:type="dxa"/>
            <w:shd w:val="clear" w:color="auto" w:fill="0F9ED5" w:themeFill="accent4"/>
          </w:tcPr>
          <w:p w14:paraId="4DD681ED"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Výdaje celkem</w:t>
            </w:r>
          </w:p>
        </w:tc>
        <w:tc>
          <w:tcPr>
            <w:tcW w:w="1455" w:type="dxa"/>
          </w:tcPr>
          <w:p w14:paraId="39435191"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1.834.806,-</w:t>
            </w:r>
            <w:proofErr w:type="gramEnd"/>
          </w:p>
        </w:tc>
        <w:tc>
          <w:tcPr>
            <w:tcW w:w="1815" w:type="dxa"/>
          </w:tcPr>
          <w:p w14:paraId="669D0ACE"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1.858.790,-</w:t>
            </w:r>
            <w:proofErr w:type="gramEnd"/>
          </w:p>
        </w:tc>
        <w:tc>
          <w:tcPr>
            <w:tcW w:w="1860" w:type="dxa"/>
          </w:tcPr>
          <w:p w14:paraId="31B46697"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1.821.151,-</w:t>
            </w:r>
            <w:proofErr w:type="gramEnd"/>
          </w:p>
          <w:p w14:paraId="70D07BF4" w14:textId="77777777" w:rsidR="00A637AE" w:rsidRPr="00F2155D" w:rsidRDefault="00A637AE" w:rsidP="00502F90">
            <w:pPr>
              <w:spacing w:after="0"/>
              <w:rPr>
                <w:rFonts w:ascii="Times New Roman" w:hAnsi="Times New Roman" w:cs="Times New Roman"/>
                <w:color w:val="000000"/>
              </w:rPr>
            </w:pPr>
          </w:p>
        </w:tc>
        <w:tc>
          <w:tcPr>
            <w:tcW w:w="1635" w:type="dxa"/>
          </w:tcPr>
          <w:p w14:paraId="09303C53" w14:textId="77777777" w:rsidR="00A637AE" w:rsidRPr="00F2155D" w:rsidRDefault="00A637AE" w:rsidP="00502F90">
            <w:pPr>
              <w:spacing w:after="0"/>
              <w:rPr>
                <w:rFonts w:ascii="Times New Roman" w:hAnsi="Times New Roman" w:cs="Times New Roman"/>
                <w:color w:val="000000"/>
              </w:rPr>
            </w:pPr>
            <w:proofErr w:type="gramStart"/>
            <w:r w:rsidRPr="00F2155D">
              <w:rPr>
                <w:rFonts w:ascii="Times New Roman" w:hAnsi="Times New Roman" w:cs="Times New Roman"/>
                <w:color w:val="000000"/>
              </w:rPr>
              <w:t>3.694.610,-</w:t>
            </w:r>
            <w:proofErr w:type="gramEnd"/>
          </w:p>
        </w:tc>
      </w:tr>
      <w:tr w:rsidR="00A637AE" w:rsidRPr="00F2155D" w14:paraId="3A9164D0" w14:textId="77777777" w:rsidTr="00502F90">
        <w:trPr>
          <w:trHeight w:val="765"/>
        </w:trPr>
        <w:tc>
          <w:tcPr>
            <w:tcW w:w="2190" w:type="dxa"/>
            <w:shd w:val="clear" w:color="auto" w:fill="0F9ED5" w:themeFill="accent4"/>
          </w:tcPr>
          <w:p w14:paraId="4713B49B"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Rozdíl celkem</w:t>
            </w:r>
          </w:p>
          <w:p w14:paraId="5A04814A" w14:textId="77777777" w:rsidR="00A637AE" w:rsidRPr="00F2155D" w:rsidRDefault="00A637AE" w:rsidP="00502F90">
            <w:pPr>
              <w:spacing w:after="0"/>
              <w:rPr>
                <w:rFonts w:ascii="Times New Roman" w:hAnsi="Times New Roman" w:cs="Times New Roman"/>
                <w:color w:val="000000"/>
              </w:rPr>
            </w:pPr>
            <w:r w:rsidRPr="00F2155D">
              <w:rPr>
                <w:rFonts w:ascii="Times New Roman" w:hAnsi="Times New Roman" w:cs="Times New Roman"/>
                <w:color w:val="000000"/>
              </w:rPr>
              <w:t>(příjmy – výdaje)</w:t>
            </w:r>
          </w:p>
        </w:tc>
        <w:tc>
          <w:tcPr>
            <w:tcW w:w="1455" w:type="dxa"/>
          </w:tcPr>
          <w:p w14:paraId="79E0CBB2" w14:textId="77777777" w:rsidR="00A637AE" w:rsidRPr="00F2155D" w:rsidRDefault="00A637AE" w:rsidP="00502F90">
            <w:pPr>
              <w:spacing w:after="0"/>
              <w:rPr>
                <w:rFonts w:ascii="Times New Roman" w:hAnsi="Times New Roman" w:cs="Times New Roman"/>
                <w:color w:val="FF0000"/>
              </w:rPr>
            </w:pPr>
            <w:r w:rsidRPr="00F2155D">
              <w:rPr>
                <w:rFonts w:ascii="Times New Roman" w:hAnsi="Times New Roman" w:cs="Times New Roman"/>
                <w:color w:val="FF0000"/>
              </w:rPr>
              <w:t xml:space="preserve">- </w:t>
            </w:r>
            <w:proofErr w:type="gramStart"/>
            <w:r w:rsidRPr="00F2155D">
              <w:rPr>
                <w:rFonts w:ascii="Times New Roman" w:hAnsi="Times New Roman" w:cs="Times New Roman"/>
                <w:color w:val="FF0000"/>
              </w:rPr>
              <w:t>142.535,-</w:t>
            </w:r>
            <w:proofErr w:type="gramEnd"/>
          </w:p>
        </w:tc>
        <w:tc>
          <w:tcPr>
            <w:tcW w:w="1815" w:type="dxa"/>
          </w:tcPr>
          <w:p w14:paraId="3FF3675F" w14:textId="77777777" w:rsidR="00A637AE" w:rsidRPr="00F2155D" w:rsidRDefault="00A637AE" w:rsidP="00502F90">
            <w:pPr>
              <w:spacing w:after="0"/>
              <w:rPr>
                <w:rFonts w:ascii="Times New Roman" w:hAnsi="Times New Roman" w:cs="Times New Roman"/>
                <w:color w:val="FF0000"/>
              </w:rPr>
            </w:pPr>
            <w:r w:rsidRPr="00F2155D">
              <w:rPr>
                <w:rFonts w:ascii="Times New Roman" w:hAnsi="Times New Roman" w:cs="Times New Roman"/>
                <w:color w:val="FF0000"/>
              </w:rPr>
              <w:t xml:space="preserve">- </w:t>
            </w:r>
            <w:proofErr w:type="gramStart"/>
            <w:r w:rsidRPr="00F2155D">
              <w:rPr>
                <w:rFonts w:ascii="Times New Roman" w:hAnsi="Times New Roman" w:cs="Times New Roman"/>
                <w:color w:val="FF0000"/>
              </w:rPr>
              <w:t>103.846,-</w:t>
            </w:r>
            <w:proofErr w:type="gramEnd"/>
            <w:r w:rsidRPr="00F2155D">
              <w:rPr>
                <w:rFonts w:ascii="Times New Roman" w:hAnsi="Times New Roman" w:cs="Times New Roman"/>
                <w:color w:val="FF0000"/>
              </w:rPr>
              <w:t xml:space="preserve"> Kč</w:t>
            </w:r>
          </w:p>
        </w:tc>
        <w:tc>
          <w:tcPr>
            <w:tcW w:w="1860" w:type="dxa"/>
          </w:tcPr>
          <w:p w14:paraId="77D17D27" w14:textId="77777777" w:rsidR="00A637AE" w:rsidRPr="00F2155D" w:rsidRDefault="00A637AE" w:rsidP="00502F90">
            <w:pPr>
              <w:spacing w:after="0"/>
              <w:rPr>
                <w:rFonts w:ascii="Times New Roman" w:hAnsi="Times New Roman" w:cs="Times New Roman"/>
                <w:color w:val="FF0000"/>
              </w:rPr>
            </w:pPr>
            <w:r w:rsidRPr="00F2155D">
              <w:rPr>
                <w:rFonts w:ascii="Times New Roman" w:hAnsi="Times New Roman" w:cs="Times New Roman"/>
                <w:color w:val="000000" w:themeColor="text1"/>
              </w:rPr>
              <w:t xml:space="preserve">+ </w:t>
            </w:r>
            <w:proofErr w:type="gramStart"/>
            <w:r w:rsidRPr="00F2155D">
              <w:rPr>
                <w:rFonts w:ascii="Times New Roman" w:hAnsi="Times New Roman" w:cs="Times New Roman"/>
                <w:color w:val="000000" w:themeColor="text1"/>
              </w:rPr>
              <w:t>47.221,-</w:t>
            </w:r>
            <w:proofErr w:type="gramEnd"/>
            <w:r w:rsidRPr="00F2155D">
              <w:rPr>
                <w:rFonts w:ascii="Times New Roman" w:hAnsi="Times New Roman" w:cs="Times New Roman"/>
                <w:color w:val="000000" w:themeColor="text1"/>
              </w:rPr>
              <w:t xml:space="preserve"> Kč</w:t>
            </w:r>
          </w:p>
        </w:tc>
        <w:tc>
          <w:tcPr>
            <w:tcW w:w="1635" w:type="dxa"/>
          </w:tcPr>
          <w:p w14:paraId="3ABB329C" w14:textId="77777777" w:rsidR="00A637AE" w:rsidRPr="00F2155D" w:rsidRDefault="00A637AE" w:rsidP="00502F90">
            <w:pPr>
              <w:spacing w:after="0"/>
              <w:rPr>
                <w:rFonts w:ascii="Times New Roman" w:hAnsi="Times New Roman" w:cs="Times New Roman"/>
                <w:color w:val="FF0000"/>
              </w:rPr>
            </w:pPr>
            <w:r w:rsidRPr="00F2155D">
              <w:rPr>
                <w:rFonts w:ascii="Times New Roman" w:hAnsi="Times New Roman" w:cs="Times New Roman"/>
                <w:color w:val="FF0000"/>
              </w:rPr>
              <w:t>-1.513.855,-</w:t>
            </w:r>
          </w:p>
        </w:tc>
      </w:tr>
    </w:tbl>
    <w:p w14:paraId="76D546BE" w14:textId="77777777" w:rsidR="00A637AE" w:rsidRPr="00F2155D" w:rsidRDefault="00A637AE" w:rsidP="00A637AE">
      <w:pPr>
        <w:spacing w:after="0"/>
        <w:rPr>
          <w:rFonts w:ascii="Times New Roman" w:hAnsi="Times New Roman" w:cs="Times New Roman"/>
          <w:color w:val="000000"/>
        </w:rPr>
      </w:pPr>
    </w:p>
    <w:p w14:paraId="6F07D64A"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Z výsledku hospodaření za rok 2022 je zřejmé, že náklad na likvidaci odpadu za jednoho obyvatele byl 1.488,- Kč, přičemž poplatek byl 600,- Kč. Obec tedy z rozpočtu doplatila za každého obyvatele 888,- Kč.</w:t>
      </w:r>
    </w:p>
    <w:p w14:paraId="1AB4CB0C" w14:textId="77777777" w:rsidR="00A637AE" w:rsidRPr="00F2155D" w:rsidRDefault="00A637AE" w:rsidP="00A637AE">
      <w:pPr>
        <w:spacing w:after="0"/>
        <w:rPr>
          <w:rFonts w:ascii="Times New Roman" w:hAnsi="Times New Roman" w:cs="Times New Roman"/>
          <w:color w:val="000000"/>
        </w:rPr>
      </w:pPr>
      <w:proofErr w:type="gramStart"/>
      <w:r w:rsidRPr="00F2155D">
        <w:rPr>
          <w:rFonts w:ascii="Times New Roman" w:hAnsi="Times New Roman" w:cs="Times New Roman"/>
          <w:color w:val="000000"/>
        </w:rPr>
        <w:t>Výdaje  na</w:t>
      </w:r>
      <w:proofErr w:type="gramEnd"/>
      <w:r w:rsidRPr="00F2155D">
        <w:rPr>
          <w:rFonts w:ascii="Times New Roman" w:hAnsi="Times New Roman" w:cs="Times New Roman"/>
          <w:color w:val="000000"/>
        </w:rPr>
        <w:t xml:space="preserve"> svoz a likvidaci odpadů v příštích letech určitě neklesnou, budou spíš růst – minimálně o inflaci. Snad </w:t>
      </w:r>
      <w:proofErr w:type="gramStart"/>
      <w:r w:rsidRPr="00F2155D">
        <w:rPr>
          <w:rFonts w:ascii="Times New Roman" w:hAnsi="Times New Roman" w:cs="Times New Roman"/>
          <w:color w:val="000000"/>
        </w:rPr>
        <w:t>jedinou  možností</w:t>
      </w:r>
      <w:proofErr w:type="gramEnd"/>
      <w:r w:rsidRPr="00F2155D">
        <w:rPr>
          <w:rFonts w:ascii="Times New Roman" w:hAnsi="Times New Roman" w:cs="Times New Roman"/>
          <w:color w:val="000000"/>
        </w:rPr>
        <w:t xml:space="preserve"> na snížení ceny je snížení celkového množství odpadu, pak by obec mohla se svozovou firmou jednat o snížení ceny. Množství odpadu by </w:t>
      </w:r>
      <w:proofErr w:type="gramStart"/>
      <w:r w:rsidRPr="00F2155D">
        <w:rPr>
          <w:rFonts w:ascii="Times New Roman" w:hAnsi="Times New Roman" w:cs="Times New Roman"/>
          <w:color w:val="000000"/>
        </w:rPr>
        <w:t>však  muselo</w:t>
      </w:r>
      <w:proofErr w:type="gramEnd"/>
      <w:r w:rsidRPr="00F2155D">
        <w:rPr>
          <w:rFonts w:ascii="Times New Roman" w:hAnsi="Times New Roman" w:cs="Times New Roman"/>
          <w:color w:val="000000"/>
        </w:rPr>
        <w:t xml:space="preserve"> klesnout minimálně o 10%</w:t>
      </w:r>
    </w:p>
    <w:p w14:paraId="24DE5012"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 xml:space="preserve">Aby příjmy byly vyšší, musela obec přistoupit ke </w:t>
      </w:r>
      <w:proofErr w:type="gramStart"/>
      <w:r w:rsidRPr="00F2155D">
        <w:rPr>
          <w:rFonts w:ascii="Times New Roman" w:hAnsi="Times New Roman" w:cs="Times New Roman"/>
          <w:color w:val="000000"/>
        </w:rPr>
        <w:t>zvýšení  poplatku</w:t>
      </w:r>
      <w:proofErr w:type="gramEnd"/>
      <w:r w:rsidRPr="00F2155D">
        <w:rPr>
          <w:rFonts w:ascii="Times New Roman" w:hAnsi="Times New Roman" w:cs="Times New Roman"/>
          <w:color w:val="000000"/>
        </w:rPr>
        <w:t xml:space="preserve"> , což však na pokrytí nákladů zdaleka nestačí. Abychom dosáhli vyšších příjmů, je nutné ještě důkladněji třídit odpad – především plast, papír, sklo, kovy a nápojový karton</w:t>
      </w:r>
      <w:r>
        <w:rPr>
          <w:rFonts w:ascii="Times New Roman" w:hAnsi="Times New Roman" w:cs="Times New Roman"/>
          <w:color w:val="000000"/>
        </w:rPr>
        <w:t>,</w:t>
      </w:r>
      <w:r w:rsidRPr="00F2155D">
        <w:rPr>
          <w:rFonts w:ascii="Times New Roman" w:hAnsi="Times New Roman" w:cs="Times New Roman"/>
          <w:color w:val="000000"/>
        </w:rPr>
        <w:t xml:space="preserve"> </w:t>
      </w:r>
      <w:proofErr w:type="gramStart"/>
      <w:r w:rsidRPr="00F2155D">
        <w:rPr>
          <w:rFonts w:ascii="Times New Roman" w:hAnsi="Times New Roman" w:cs="Times New Roman"/>
          <w:color w:val="000000"/>
        </w:rPr>
        <w:t>dále  elektrospotřebiče</w:t>
      </w:r>
      <w:proofErr w:type="gramEnd"/>
      <w:r w:rsidRPr="00F2155D">
        <w:rPr>
          <w:rFonts w:ascii="Times New Roman" w:hAnsi="Times New Roman" w:cs="Times New Roman"/>
          <w:color w:val="000000"/>
        </w:rPr>
        <w:t xml:space="preserve"> a světelné zdroje. Za tyto komodity obec získává odměnu od společností zabývajících </w:t>
      </w:r>
      <w:proofErr w:type="gramStart"/>
      <w:r w:rsidRPr="00F2155D">
        <w:rPr>
          <w:rFonts w:ascii="Times New Roman" w:hAnsi="Times New Roman" w:cs="Times New Roman"/>
          <w:color w:val="000000"/>
        </w:rPr>
        <w:t>se  zpětným</w:t>
      </w:r>
      <w:proofErr w:type="gramEnd"/>
      <w:r w:rsidRPr="00F2155D">
        <w:rPr>
          <w:rFonts w:ascii="Times New Roman" w:hAnsi="Times New Roman" w:cs="Times New Roman"/>
          <w:color w:val="000000"/>
        </w:rPr>
        <w:t xml:space="preserve"> odběrem. </w:t>
      </w:r>
    </w:p>
    <w:p w14:paraId="7FB28BAA"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color w:val="000000"/>
        </w:rPr>
        <w:t>Odpad však v kontejnerech musí být vytříděný správně</w:t>
      </w:r>
      <w:r>
        <w:rPr>
          <w:rFonts w:ascii="Times New Roman" w:hAnsi="Times New Roman" w:cs="Times New Roman"/>
          <w:color w:val="000000"/>
        </w:rPr>
        <w:t>.</w:t>
      </w:r>
    </w:p>
    <w:p w14:paraId="7FA503BF" w14:textId="77777777" w:rsidR="00A637AE" w:rsidRPr="00F2155D" w:rsidRDefault="00A637AE" w:rsidP="00A637AE">
      <w:pPr>
        <w:spacing w:after="0"/>
        <w:rPr>
          <w:rFonts w:ascii="Times New Roman" w:hAnsi="Times New Roman" w:cs="Times New Roman"/>
          <w:color w:val="000000"/>
        </w:rPr>
      </w:pPr>
    </w:p>
    <w:p w14:paraId="788DB47D" w14:textId="77777777" w:rsidR="00A637AE" w:rsidRPr="00F2155D" w:rsidRDefault="00A637AE" w:rsidP="00A637AE">
      <w:pPr>
        <w:spacing w:after="0"/>
        <w:rPr>
          <w:rFonts w:ascii="Times New Roman" w:hAnsi="Times New Roman" w:cs="Times New Roman"/>
          <w:color w:val="000000"/>
        </w:rPr>
      </w:pPr>
    </w:p>
    <w:p w14:paraId="6F521439" w14:textId="77777777" w:rsidR="00A637AE" w:rsidRPr="00F2155D" w:rsidRDefault="00A637AE" w:rsidP="00A637AE">
      <w:pPr>
        <w:spacing w:after="0"/>
        <w:rPr>
          <w:rFonts w:ascii="Times New Roman" w:hAnsi="Times New Roman" w:cs="Times New Roman"/>
          <w:color w:val="000000"/>
        </w:rPr>
      </w:pPr>
    </w:p>
    <w:p w14:paraId="3ADEAF71" w14:textId="77777777" w:rsidR="00A637AE" w:rsidRPr="00F2155D" w:rsidRDefault="00A637AE" w:rsidP="00A637AE">
      <w:pPr>
        <w:spacing w:after="0"/>
        <w:rPr>
          <w:rFonts w:ascii="Times New Roman" w:hAnsi="Times New Roman" w:cs="Times New Roman"/>
          <w:color w:val="000000"/>
        </w:rPr>
      </w:pPr>
      <w:r w:rsidRPr="00F2155D">
        <w:rPr>
          <w:rFonts w:ascii="Times New Roman" w:hAnsi="Times New Roman" w:cs="Times New Roman"/>
          <w:noProof/>
        </w:rPr>
        <w:lastRenderedPageBreak/>
        <w:drawing>
          <wp:anchor distT="0" distB="0" distL="114300" distR="114300" simplePos="0" relativeHeight="251659264" behindDoc="0" locked="0" layoutInCell="1" allowOverlap="1" wp14:anchorId="0BFD48B6" wp14:editId="18432FDA">
            <wp:simplePos x="0" y="0"/>
            <wp:positionH relativeFrom="column">
              <wp:posOffset>-4445</wp:posOffset>
            </wp:positionH>
            <wp:positionV relativeFrom="paragraph">
              <wp:posOffset>0</wp:posOffset>
            </wp:positionV>
            <wp:extent cx="5760720" cy="3838575"/>
            <wp:effectExtent l="0" t="0" r="0" b="9525"/>
            <wp:wrapTopAndBottom/>
            <wp:docPr id="1" name="Obrázek 1" descr="Obsah obrázku odpadky, umělá hmota, nealkoholický nápoj, znečiště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odpadky, umělá hmota, nealkoholický nápoj, znečištění&#10;&#10;Obsah generovaný pomocí AI může být nesprávn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38575"/>
                    </a:xfrm>
                    <a:prstGeom prst="rect">
                      <a:avLst/>
                    </a:prstGeom>
                    <a:noFill/>
                    <a:ln>
                      <a:noFill/>
                    </a:ln>
                  </pic:spPr>
                </pic:pic>
              </a:graphicData>
            </a:graphic>
          </wp:anchor>
        </w:drawing>
      </w:r>
      <w:r w:rsidRPr="00F2155D">
        <w:rPr>
          <w:rFonts w:ascii="Times New Roman" w:hAnsi="Times New Roman" w:cs="Times New Roman"/>
          <w:color w:val="000000"/>
        </w:rPr>
        <w:t xml:space="preserve">Ne vždy se nám třídění daří. Pravděpodobně za celá ta léta, </w:t>
      </w:r>
      <w:proofErr w:type="gramStart"/>
      <w:r w:rsidRPr="00F2155D">
        <w:rPr>
          <w:rFonts w:ascii="Times New Roman" w:hAnsi="Times New Roman" w:cs="Times New Roman"/>
          <w:color w:val="000000"/>
        </w:rPr>
        <w:t>kdy  odpad</w:t>
      </w:r>
      <w:proofErr w:type="gramEnd"/>
      <w:r w:rsidRPr="00F2155D">
        <w:rPr>
          <w:rFonts w:ascii="Times New Roman" w:hAnsi="Times New Roman" w:cs="Times New Roman"/>
          <w:color w:val="000000"/>
        </w:rPr>
        <w:t xml:space="preserve"> třídíme, ještě někdo nezjistil, že modrý kontejner je určen pro odkládání papírového odpadu. Je však zřejmé, jakou značku alkoholu tento náš občan preferuje.</w:t>
      </w:r>
    </w:p>
    <w:p w14:paraId="484CD571" w14:textId="77777777" w:rsidR="006B7A43" w:rsidRDefault="006B7A43"/>
    <w:sectPr w:rsidR="006B7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B7185"/>
    <w:multiLevelType w:val="multilevel"/>
    <w:tmpl w:val="B41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1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83"/>
    <w:rsid w:val="001459E5"/>
    <w:rsid w:val="00190517"/>
    <w:rsid w:val="006B7A43"/>
    <w:rsid w:val="00A44B83"/>
    <w:rsid w:val="00A63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BFFA0-7431-48EB-85EC-CC63F602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7AE"/>
    <w:pPr>
      <w:spacing w:line="259" w:lineRule="auto"/>
    </w:pPr>
    <w:rPr>
      <w:kern w:val="0"/>
      <w:sz w:val="22"/>
      <w:szCs w:val="22"/>
      <w14:ligatures w14:val="none"/>
    </w:rPr>
  </w:style>
  <w:style w:type="paragraph" w:styleId="Nadpis1">
    <w:name w:val="heading 1"/>
    <w:basedOn w:val="Normln"/>
    <w:next w:val="Normln"/>
    <w:link w:val="Nadpis1Char"/>
    <w:uiPriority w:val="9"/>
    <w:qFormat/>
    <w:rsid w:val="00A4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4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44B8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44B8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4B8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4B8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4B8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4B8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4B8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4B8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44B8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44B8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44B8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4B8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4B8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4B8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4B8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4B83"/>
    <w:rPr>
      <w:rFonts w:eastAsiaTheme="majorEastAsia" w:cstheme="majorBidi"/>
      <w:color w:val="272727" w:themeColor="text1" w:themeTint="D8"/>
    </w:rPr>
  </w:style>
  <w:style w:type="paragraph" w:styleId="Nzev">
    <w:name w:val="Title"/>
    <w:basedOn w:val="Normln"/>
    <w:next w:val="Normln"/>
    <w:link w:val="NzevChar"/>
    <w:uiPriority w:val="10"/>
    <w:qFormat/>
    <w:rsid w:val="00A4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4B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4B8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4B8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4B83"/>
    <w:pPr>
      <w:spacing w:before="160"/>
      <w:jc w:val="center"/>
    </w:pPr>
    <w:rPr>
      <w:i/>
      <w:iCs/>
      <w:color w:val="404040" w:themeColor="text1" w:themeTint="BF"/>
    </w:rPr>
  </w:style>
  <w:style w:type="character" w:customStyle="1" w:styleId="CittChar">
    <w:name w:val="Citát Char"/>
    <w:basedOn w:val="Standardnpsmoodstavce"/>
    <w:link w:val="Citt"/>
    <w:uiPriority w:val="29"/>
    <w:rsid w:val="00A44B83"/>
    <w:rPr>
      <w:i/>
      <w:iCs/>
      <w:color w:val="404040" w:themeColor="text1" w:themeTint="BF"/>
    </w:rPr>
  </w:style>
  <w:style w:type="paragraph" w:styleId="Odstavecseseznamem">
    <w:name w:val="List Paragraph"/>
    <w:basedOn w:val="Normln"/>
    <w:uiPriority w:val="34"/>
    <w:qFormat/>
    <w:rsid w:val="00A44B83"/>
    <w:pPr>
      <w:ind w:left="720"/>
      <w:contextualSpacing/>
    </w:pPr>
  </w:style>
  <w:style w:type="character" w:styleId="Zdraznnintenzivn">
    <w:name w:val="Intense Emphasis"/>
    <w:basedOn w:val="Standardnpsmoodstavce"/>
    <w:uiPriority w:val="21"/>
    <w:qFormat/>
    <w:rsid w:val="00A44B83"/>
    <w:rPr>
      <w:i/>
      <w:iCs/>
      <w:color w:val="0F4761" w:themeColor="accent1" w:themeShade="BF"/>
    </w:rPr>
  </w:style>
  <w:style w:type="paragraph" w:styleId="Vrazncitt">
    <w:name w:val="Intense Quote"/>
    <w:basedOn w:val="Normln"/>
    <w:next w:val="Normln"/>
    <w:link w:val="VrazncittChar"/>
    <w:uiPriority w:val="30"/>
    <w:qFormat/>
    <w:rsid w:val="00A4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4B83"/>
    <w:rPr>
      <w:i/>
      <w:iCs/>
      <w:color w:val="0F4761" w:themeColor="accent1" w:themeShade="BF"/>
    </w:rPr>
  </w:style>
  <w:style w:type="character" w:styleId="Odkazintenzivn">
    <w:name w:val="Intense Reference"/>
    <w:basedOn w:val="Standardnpsmoodstavce"/>
    <w:uiPriority w:val="32"/>
    <w:qFormat/>
    <w:rsid w:val="00A44B83"/>
    <w:rPr>
      <w:b/>
      <w:bCs/>
      <w:smallCaps/>
      <w:color w:val="0F4761" w:themeColor="accent1" w:themeShade="BF"/>
      <w:spacing w:val="5"/>
    </w:rPr>
  </w:style>
  <w:style w:type="paragraph" w:styleId="Normlnweb">
    <w:name w:val="Normal (Web)"/>
    <w:basedOn w:val="Normln"/>
    <w:uiPriority w:val="99"/>
    <w:semiHidden/>
    <w:unhideWhenUsed/>
    <w:rsid w:val="00A637AE"/>
    <w:pPr>
      <w:spacing w:before="100" w:beforeAutospacing="1" w:after="119"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5871</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Draha Dostová</dc:creator>
  <cp:keywords/>
  <dc:description/>
  <cp:lastModifiedBy>Draha Dostová</cp:lastModifiedBy>
  <cp:revision>2</cp:revision>
  <dcterms:created xsi:type="dcterms:W3CDTF">2026-01-13T07:26:00Z</dcterms:created>
  <dcterms:modified xsi:type="dcterms:W3CDTF">2026-01-13T07:26:00Z</dcterms:modified>
</cp:coreProperties>
</file>